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drawing>
          <wp:anchor distT="0" distB="0" distL="114300" distR="114300" simplePos="0" relativeHeight="251659264" behindDoc="0" locked="0" layoutInCell="1" allowOverlap="1">
            <wp:simplePos x="0" y="0"/>
            <wp:positionH relativeFrom="column">
              <wp:posOffset>-635</wp:posOffset>
            </wp:positionH>
            <wp:positionV relativeFrom="paragraph">
              <wp:posOffset>100330</wp:posOffset>
            </wp:positionV>
            <wp:extent cx="6119495" cy="1194435"/>
            <wp:effectExtent l="0" t="0" r="14605" b="5715"/>
            <wp:wrapSquare wrapText="bothSides"/>
            <wp:docPr id="17" name="图片 17" descr="工商学校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工商学校02"/>
                    <pic:cNvPicPr>
                      <a:picLocks noChangeAspect="1"/>
                    </pic:cNvPicPr>
                  </pic:nvPicPr>
                  <pic:blipFill>
                    <a:blip r:embed="rId8"/>
                    <a:stretch>
                      <a:fillRect/>
                    </a:stretch>
                  </pic:blipFill>
                  <pic:spPr>
                    <a:xfrm>
                      <a:off x="0" y="0"/>
                      <a:ext cx="6119495" cy="119443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color w:val="auto"/>
          <w:sz w:val="44"/>
          <w:szCs w:val="44"/>
          <w:lang w:eastAsia="zh-CN"/>
        </w:rPr>
      </w:pPr>
    </w:p>
    <w:p>
      <w:pPr>
        <w:spacing w:before="0" w:line="720" w:lineRule="auto"/>
        <w:ind w:left="1180" w:right="1180" w:firstLine="0"/>
        <w:jc w:val="center"/>
        <w:rPr>
          <w:rFonts w:hint="eastAsia" w:ascii="黑体" w:eastAsia="黑体"/>
          <w:b/>
          <w:color w:val="auto"/>
          <w:sz w:val="72"/>
          <w:szCs w:val="72"/>
        </w:rPr>
      </w:pPr>
      <w:r>
        <w:rPr>
          <w:rFonts w:hint="eastAsia" w:ascii="黑体" w:eastAsia="黑体"/>
          <w:b/>
          <w:color w:val="auto"/>
          <w:sz w:val="84"/>
          <w:szCs w:val="84"/>
        </w:rPr>
        <w:t>《汽车运用与维修》</w:t>
      </w:r>
      <w:r>
        <w:rPr>
          <w:rFonts w:hint="eastAsia" w:ascii="黑体" w:eastAsia="黑体"/>
          <w:b/>
          <w:color w:val="auto"/>
          <w:sz w:val="72"/>
          <w:szCs w:val="72"/>
        </w:rPr>
        <w:t>专业人才培养方案</w:t>
      </w:r>
    </w:p>
    <w:p>
      <w:pPr>
        <w:spacing w:before="0" w:line="720" w:lineRule="auto"/>
        <w:ind w:right="1180"/>
        <w:jc w:val="both"/>
        <w:rPr>
          <w:rFonts w:hint="eastAsia" w:ascii="黑体" w:eastAsia="黑体"/>
          <w:b/>
          <w:color w:val="auto"/>
          <w:sz w:val="32"/>
          <w:szCs w:val="32"/>
        </w:rPr>
      </w:pPr>
    </w:p>
    <w:p>
      <w:pPr>
        <w:spacing w:before="0" w:line="720" w:lineRule="auto"/>
        <w:ind w:right="1180"/>
        <w:jc w:val="both"/>
        <w:rPr>
          <w:rFonts w:hint="eastAsia" w:ascii="黑体" w:eastAsia="黑体"/>
          <w:b/>
          <w:color w:val="auto"/>
          <w:sz w:val="32"/>
          <w:szCs w:val="32"/>
        </w:rPr>
      </w:pPr>
    </w:p>
    <w:p>
      <w:pPr>
        <w:spacing w:before="0" w:line="720" w:lineRule="auto"/>
        <w:ind w:right="1180"/>
        <w:jc w:val="both"/>
        <w:rPr>
          <w:rFonts w:hint="eastAsia" w:ascii="黑体" w:eastAsia="黑体"/>
          <w:b/>
          <w:color w:val="auto"/>
          <w:sz w:val="32"/>
          <w:szCs w:val="32"/>
        </w:rPr>
      </w:pPr>
    </w:p>
    <w:tbl>
      <w:tblPr>
        <w:tblStyle w:val="17"/>
        <w:tblW w:w="5390" w:type="dxa"/>
        <w:tblInd w:w="20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53"/>
        <w:gridCol w:w="487"/>
        <w:gridCol w:w="486"/>
        <w:gridCol w:w="486"/>
        <w:gridCol w:w="796"/>
        <w:gridCol w:w="26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2" w:hRule="atLeast"/>
        </w:trPr>
        <w:tc>
          <w:tcPr>
            <w:tcW w:w="453" w:type="dxa"/>
            <w:vAlign w:val="center"/>
          </w:tcPr>
          <w:p>
            <w:pPr>
              <w:pStyle w:val="20"/>
              <w:spacing w:line="364" w:lineRule="exact"/>
              <w:ind w:right="33"/>
              <w:jc w:val="center"/>
              <w:rPr>
                <w:color w:val="auto"/>
                <w:sz w:val="32"/>
              </w:rPr>
            </w:pPr>
            <w:r>
              <w:rPr>
                <w:color w:val="auto"/>
                <w:w w:val="99"/>
                <w:sz w:val="32"/>
              </w:rPr>
              <w:t>专</w:t>
            </w:r>
          </w:p>
        </w:tc>
        <w:tc>
          <w:tcPr>
            <w:tcW w:w="487" w:type="dxa"/>
            <w:vAlign w:val="center"/>
          </w:tcPr>
          <w:p>
            <w:pPr>
              <w:pStyle w:val="20"/>
              <w:spacing w:line="364" w:lineRule="exact"/>
              <w:jc w:val="center"/>
              <w:rPr>
                <w:color w:val="auto"/>
                <w:sz w:val="32"/>
              </w:rPr>
            </w:pPr>
            <w:r>
              <w:rPr>
                <w:color w:val="auto"/>
                <w:w w:val="99"/>
                <w:sz w:val="32"/>
              </w:rPr>
              <w:t>业</w:t>
            </w:r>
          </w:p>
        </w:tc>
        <w:tc>
          <w:tcPr>
            <w:tcW w:w="486" w:type="dxa"/>
            <w:vAlign w:val="center"/>
          </w:tcPr>
          <w:p>
            <w:pPr>
              <w:pStyle w:val="20"/>
              <w:spacing w:line="364" w:lineRule="exact"/>
              <w:ind w:left="1"/>
              <w:jc w:val="center"/>
              <w:rPr>
                <w:color w:val="auto"/>
                <w:sz w:val="32"/>
              </w:rPr>
            </w:pPr>
            <w:r>
              <w:rPr>
                <w:color w:val="auto"/>
                <w:w w:val="99"/>
                <w:sz w:val="32"/>
              </w:rPr>
              <w:t>名</w:t>
            </w:r>
          </w:p>
        </w:tc>
        <w:tc>
          <w:tcPr>
            <w:tcW w:w="486" w:type="dxa"/>
            <w:vAlign w:val="center"/>
          </w:tcPr>
          <w:p>
            <w:pPr>
              <w:pStyle w:val="20"/>
              <w:spacing w:line="364" w:lineRule="exact"/>
              <w:jc w:val="center"/>
              <w:rPr>
                <w:color w:val="auto"/>
                <w:sz w:val="32"/>
              </w:rPr>
            </w:pPr>
            <w:r>
              <w:rPr>
                <w:color w:val="auto"/>
                <w:w w:val="99"/>
                <w:sz w:val="32"/>
              </w:rPr>
              <w:t>称</w:t>
            </w:r>
          </w:p>
        </w:tc>
        <w:tc>
          <w:tcPr>
            <w:tcW w:w="796" w:type="dxa"/>
            <w:vAlign w:val="center"/>
          </w:tcPr>
          <w:p>
            <w:pPr>
              <w:pStyle w:val="20"/>
              <w:spacing w:line="364" w:lineRule="exact"/>
              <w:ind w:left="84"/>
              <w:jc w:val="center"/>
              <w:rPr>
                <w:color w:val="auto"/>
                <w:sz w:val="32"/>
              </w:rPr>
            </w:pPr>
            <w:r>
              <w:rPr>
                <w:color w:val="auto"/>
                <w:w w:val="99"/>
                <w:sz w:val="32"/>
              </w:rPr>
              <w:t>：</w:t>
            </w:r>
          </w:p>
        </w:tc>
        <w:tc>
          <w:tcPr>
            <w:tcW w:w="2682" w:type="dxa"/>
            <w:vAlign w:val="center"/>
          </w:tcPr>
          <w:p>
            <w:pPr>
              <w:pStyle w:val="20"/>
              <w:spacing w:line="364" w:lineRule="exact"/>
              <w:jc w:val="center"/>
              <w:rPr>
                <w:rFonts w:hint="eastAsia" w:ascii="仿宋" w:eastAsia="仿宋"/>
                <w:color w:val="auto"/>
                <w:sz w:val="32"/>
              </w:rPr>
            </w:pPr>
            <w:r>
              <w:rPr>
                <w:rFonts w:hint="eastAsia" w:ascii="仿宋" w:eastAsia="仿宋"/>
                <w:color w:val="auto"/>
                <w:sz w:val="32"/>
              </w:rPr>
              <w:t>汽车运用与维修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3" w:hRule="atLeast"/>
        </w:trPr>
        <w:tc>
          <w:tcPr>
            <w:tcW w:w="453" w:type="dxa"/>
            <w:vAlign w:val="center"/>
          </w:tcPr>
          <w:p>
            <w:pPr>
              <w:pStyle w:val="20"/>
              <w:spacing w:before="117"/>
              <w:ind w:right="33"/>
              <w:jc w:val="center"/>
              <w:rPr>
                <w:color w:val="auto"/>
                <w:sz w:val="32"/>
              </w:rPr>
            </w:pPr>
            <w:r>
              <w:rPr>
                <w:color w:val="auto"/>
                <w:w w:val="99"/>
                <w:sz w:val="32"/>
              </w:rPr>
              <w:t>专</w:t>
            </w:r>
          </w:p>
        </w:tc>
        <w:tc>
          <w:tcPr>
            <w:tcW w:w="487" w:type="dxa"/>
            <w:vAlign w:val="center"/>
          </w:tcPr>
          <w:p>
            <w:pPr>
              <w:pStyle w:val="20"/>
              <w:spacing w:before="117"/>
              <w:jc w:val="center"/>
              <w:rPr>
                <w:color w:val="auto"/>
                <w:sz w:val="32"/>
              </w:rPr>
            </w:pPr>
            <w:r>
              <w:rPr>
                <w:color w:val="auto"/>
                <w:w w:val="99"/>
                <w:sz w:val="32"/>
              </w:rPr>
              <w:t>业</w:t>
            </w:r>
          </w:p>
        </w:tc>
        <w:tc>
          <w:tcPr>
            <w:tcW w:w="486" w:type="dxa"/>
            <w:vAlign w:val="center"/>
          </w:tcPr>
          <w:p>
            <w:pPr>
              <w:pStyle w:val="20"/>
              <w:spacing w:before="117"/>
              <w:ind w:left="1"/>
              <w:jc w:val="center"/>
              <w:rPr>
                <w:color w:val="auto"/>
                <w:sz w:val="32"/>
              </w:rPr>
            </w:pPr>
            <w:r>
              <w:rPr>
                <w:color w:val="auto"/>
                <w:w w:val="99"/>
                <w:sz w:val="32"/>
              </w:rPr>
              <w:t>代</w:t>
            </w:r>
          </w:p>
        </w:tc>
        <w:tc>
          <w:tcPr>
            <w:tcW w:w="486" w:type="dxa"/>
            <w:vAlign w:val="center"/>
          </w:tcPr>
          <w:p>
            <w:pPr>
              <w:pStyle w:val="20"/>
              <w:spacing w:before="117"/>
              <w:jc w:val="center"/>
              <w:rPr>
                <w:color w:val="auto"/>
                <w:sz w:val="32"/>
              </w:rPr>
            </w:pPr>
            <w:r>
              <w:rPr>
                <w:color w:val="auto"/>
                <w:w w:val="99"/>
                <w:sz w:val="32"/>
              </w:rPr>
              <w:t>码</w:t>
            </w:r>
          </w:p>
        </w:tc>
        <w:tc>
          <w:tcPr>
            <w:tcW w:w="796" w:type="dxa"/>
            <w:vAlign w:val="center"/>
          </w:tcPr>
          <w:p>
            <w:pPr>
              <w:pStyle w:val="20"/>
              <w:spacing w:before="117"/>
              <w:ind w:left="84"/>
              <w:jc w:val="center"/>
              <w:rPr>
                <w:color w:val="auto"/>
                <w:sz w:val="32"/>
              </w:rPr>
            </w:pPr>
            <w:r>
              <w:rPr>
                <w:color w:val="auto"/>
                <w:w w:val="99"/>
                <w:sz w:val="32"/>
              </w:rPr>
              <w:t>：</w:t>
            </w:r>
          </w:p>
        </w:tc>
        <w:tc>
          <w:tcPr>
            <w:tcW w:w="2682" w:type="dxa"/>
            <w:vAlign w:val="center"/>
          </w:tcPr>
          <w:p>
            <w:pPr>
              <w:pStyle w:val="20"/>
              <w:spacing w:before="139"/>
              <w:jc w:val="center"/>
              <w:rPr>
                <w:rFonts w:hint="eastAsia" w:ascii="Times New Roman" w:eastAsia="宋体"/>
                <w:color w:val="auto"/>
                <w:sz w:val="32"/>
                <w:lang w:eastAsia="zh-CN"/>
              </w:rPr>
            </w:pPr>
            <w:r>
              <w:rPr>
                <w:rFonts w:hint="eastAsia" w:ascii="Times New Roman"/>
                <w:color w:val="auto"/>
                <w:sz w:val="32"/>
                <w:lang w:val="en-US" w:eastAsia="zh-CN"/>
              </w:rPr>
              <w:t>700206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3" w:hRule="atLeast"/>
        </w:trPr>
        <w:tc>
          <w:tcPr>
            <w:tcW w:w="453" w:type="dxa"/>
            <w:vAlign w:val="center"/>
          </w:tcPr>
          <w:p>
            <w:pPr>
              <w:pStyle w:val="20"/>
              <w:spacing w:before="100"/>
              <w:ind w:right="33"/>
              <w:jc w:val="center"/>
              <w:rPr>
                <w:color w:val="auto"/>
                <w:sz w:val="32"/>
              </w:rPr>
            </w:pPr>
            <w:r>
              <w:rPr>
                <w:color w:val="auto"/>
                <w:w w:val="99"/>
                <w:sz w:val="32"/>
              </w:rPr>
              <w:t>适</w:t>
            </w:r>
          </w:p>
        </w:tc>
        <w:tc>
          <w:tcPr>
            <w:tcW w:w="487" w:type="dxa"/>
            <w:vAlign w:val="center"/>
          </w:tcPr>
          <w:p>
            <w:pPr>
              <w:pStyle w:val="20"/>
              <w:spacing w:before="100"/>
              <w:jc w:val="center"/>
              <w:rPr>
                <w:color w:val="auto"/>
                <w:sz w:val="32"/>
              </w:rPr>
            </w:pPr>
            <w:r>
              <w:rPr>
                <w:color w:val="auto"/>
                <w:w w:val="99"/>
                <w:sz w:val="32"/>
              </w:rPr>
              <w:t>用</w:t>
            </w:r>
          </w:p>
        </w:tc>
        <w:tc>
          <w:tcPr>
            <w:tcW w:w="486" w:type="dxa"/>
            <w:vAlign w:val="center"/>
          </w:tcPr>
          <w:p>
            <w:pPr>
              <w:pStyle w:val="20"/>
              <w:spacing w:before="100"/>
              <w:ind w:left="1"/>
              <w:jc w:val="center"/>
              <w:rPr>
                <w:color w:val="auto"/>
                <w:sz w:val="32"/>
              </w:rPr>
            </w:pPr>
            <w:r>
              <w:rPr>
                <w:color w:val="auto"/>
                <w:w w:val="99"/>
                <w:sz w:val="32"/>
              </w:rPr>
              <w:t>年</w:t>
            </w:r>
          </w:p>
        </w:tc>
        <w:tc>
          <w:tcPr>
            <w:tcW w:w="486" w:type="dxa"/>
            <w:vAlign w:val="center"/>
          </w:tcPr>
          <w:p>
            <w:pPr>
              <w:pStyle w:val="20"/>
              <w:spacing w:before="100"/>
              <w:jc w:val="center"/>
              <w:rPr>
                <w:color w:val="auto"/>
                <w:sz w:val="32"/>
              </w:rPr>
            </w:pPr>
            <w:r>
              <w:rPr>
                <w:color w:val="auto"/>
                <w:w w:val="99"/>
                <w:sz w:val="32"/>
              </w:rPr>
              <w:t>级</w:t>
            </w:r>
          </w:p>
        </w:tc>
        <w:tc>
          <w:tcPr>
            <w:tcW w:w="796" w:type="dxa"/>
            <w:vAlign w:val="center"/>
          </w:tcPr>
          <w:p>
            <w:pPr>
              <w:pStyle w:val="20"/>
              <w:spacing w:before="100"/>
              <w:ind w:left="84"/>
              <w:jc w:val="center"/>
              <w:rPr>
                <w:color w:val="auto"/>
                <w:sz w:val="32"/>
              </w:rPr>
            </w:pPr>
            <w:r>
              <w:rPr>
                <w:color w:val="auto"/>
                <w:w w:val="99"/>
                <w:sz w:val="32"/>
              </w:rPr>
              <w:t>：</w:t>
            </w:r>
          </w:p>
        </w:tc>
        <w:tc>
          <w:tcPr>
            <w:tcW w:w="2682" w:type="dxa"/>
            <w:vAlign w:val="center"/>
          </w:tcPr>
          <w:p>
            <w:pPr>
              <w:pStyle w:val="20"/>
              <w:spacing w:before="100"/>
              <w:jc w:val="center"/>
              <w:rPr>
                <w:rFonts w:hint="eastAsia" w:ascii="仿宋" w:eastAsia="仿宋"/>
                <w:color w:val="auto"/>
                <w:sz w:val="32"/>
              </w:rPr>
            </w:pPr>
            <w:r>
              <w:rPr>
                <w:rFonts w:hint="eastAsia" w:ascii="仿宋" w:eastAsia="仿宋"/>
                <w:color w:val="auto"/>
                <w:sz w:val="32"/>
              </w:rPr>
              <w:t>202</w:t>
            </w:r>
            <w:r>
              <w:rPr>
                <w:rFonts w:hint="eastAsia" w:ascii="仿宋" w:eastAsia="仿宋"/>
                <w:color w:val="auto"/>
                <w:sz w:val="32"/>
                <w:lang w:val="en-US" w:eastAsia="zh-CN"/>
              </w:rPr>
              <w:t>4届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7" w:hRule="atLeast"/>
        </w:trPr>
        <w:tc>
          <w:tcPr>
            <w:tcW w:w="453" w:type="dxa"/>
            <w:vAlign w:val="center"/>
          </w:tcPr>
          <w:p>
            <w:pPr>
              <w:pStyle w:val="20"/>
              <w:spacing w:before="112" w:line="345" w:lineRule="exact"/>
              <w:ind w:right="33"/>
              <w:jc w:val="center"/>
              <w:rPr>
                <w:color w:val="auto"/>
                <w:sz w:val="32"/>
              </w:rPr>
            </w:pPr>
            <w:r>
              <w:rPr>
                <w:color w:val="auto"/>
                <w:w w:val="99"/>
                <w:sz w:val="32"/>
              </w:rPr>
              <w:t>所</w:t>
            </w:r>
          </w:p>
        </w:tc>
        <w:tc>
          <w:tcPr>
            <w:tcW w:w="487" w:type="dxa"/>
            <w:vAlign w:val="center"/>
          </w:tcPr>
          <w:p>
            <w:pPr>
              <w:pStyle w:val="20"/>
              <w:spacing w:before="112" w:line="345" w:lineRule="exact"/>
              <w:jc w:val="center"/>
              <w:rPr>
                <w:color w:val="auto"/>
                <w:sz w:val="32"/>
              </w:rPr>
            </w:pPr>
            <w:r>
              <w:rPr>
                <w:color w:val="auto"/>
                <w:w w:val="99"/>
                <w:sz w:val="32"/>
              </w:rPr>
              <w:t>属</w:t>
            </w:r>
          </w:p>
        </w:tc>
        <w:tc>
          <w:tcPr>
            <w:tcW w:w="486" w:type="dxa"/>
            <w:vAlign w:val="center"/>
          </w:tcPr>
          <w:p>
            <w:pPr>
              <w:pStyle w:val="20"/>
              <w:spacing w:before="112" w:line="345" w:lineRule="exact"/>
              <w:ind w:left="1"/>
              <w:jc w:val="center"/>
              <w:rPr>
                <w:rFonts w:hint="eastAsia" w:eastAsia="宋体"/>
                <w:color w:val="auto"/>
                <w:sz w:val="32"/>
                <w:lang w:eastAsia="zh-CN"/>
              </w:rPr>
            </w:pPr>
            <w:r>
              <w:rPr>
                <w:rFonts w:hint="eastAsia"/>
                <w:color w:val="auto"/>
                <w:w w:val="99"/>
                <w:sz w:val="32"/>
                <w:lang w:val="en-US" w:eastAsia="zh-CN"/>
              </w:rPr>
              <w:t>部</w:t>
            </w:r>
          </w:p>
        </w:tc>
        <w:tc>
          <w:tcPr>
            <w:tcW w:w="486" w:type="dxa"/>
            <w:vAlign w:val="center"/>
          </w:tcPr>
          <w:p>
            <w:pPr>
              <w:pStyle w:val="20"/>
              <w:spacing w:before="112" w:line="345" w:lineRule="exact"/>
              <w:jc w:val="center"/>
              <w:rPr>
                <w:rFonts w:hint="eastAsia" w:eastAsia="宋体"/>
                <w:color w:val="auto"/>
                <w:sz w:val="32"/>
                <w:lang w:val="en-US" w:eastAsia="zh-CN"/>
              </w:rPr>
            </w:pPr>
            <w:r>
              <w:rPr>
                <w:rFonts w:hint="eastAsia"/>
                <w:color w:val="auto"/>
                <w:sz w:val="32"/>
                <w:lang w:val="en-US" w:eastAsia="zh-CN"/>
              </w:rPr>
              <w:t>门</w:t>
            </w:r>
          </w:p>
        </w:tc>
        <w:tc>
          <w:tcPr>
            <w:tcW w:w="796" w:type="dxa"/>
            <w:vAlign w:val="center"/>
          </w:tcPr>
          <w:p>
            <w:pPr>
              <w:pStyle w:val="20"/>
              <w:spacing w:before="112" w:line="345" w:lineRule="exact"/>
              <w:ind w:left="84"/>
              <w:jc w:val="center"/>
              <w:rPr>
                <w:color w:val="auto"/>
                <w:sz w:val="32"/>
              </w:rPr>
            </w:pPr>
            <w:r>
              <w:rPr>
                <w:color w:val="auto"/>
                <w:w w:val="99"/>
                <w:sz w:val="32"/>
              </w:rPr>
              <w:t>：</w:t>
            </w:r>
          </w:p>
        </w:tc>
        <w:tc>
          <w:tcPr>
            <w:tcW w:w="2682" w:type="dxa"/>
            <w:vAlign w:val="center"/>
          </w:tcPr>
          <w:p>
            <w:pPr>
              <w:pStyle w:val="20"/>
              <w:spacing w:before="112" w:line="345" w:lineRule="exact"/>
              <w:jc w:val="center"/>
              <w:rPr>
                <w:rFonts w:hint="eastAsia" w:ascii="仿宋" w:eastAsia="仿宋"/>
                <w:color w:val="auto"/>
                <w:sz w:val="32"/>
                <w:lang w:eastAsia="zh-CN"/>
              </w:rPr>
            </w:pPr>
            <w:r>
              <w:rPr>
                <w:rFonts w:hint="eastAsia" w:ascii="仿宋" w:eastAsia="仿宋"/>
                <w:color w:val="auto"/>
                <w:sz w:val="32"/>
                <w:lang w:val="en-US" w:eastAsia="zh-CN"/>
              </w:rPr>
              <w:t>汽车工程系</w:t>
            </w:r>
          </w:p>
        </w:tc>
      </w:tr>
    </w:tbl>
    <w:p>
      <w:pPr>
        <w:tabs>
          <w:tab w:val="left" w:pos="5392"/>
        </w:tabs>
        <w:spacing w:before="54"/>
        <w:ind w:right="0"/>
        <w:jc w:val="left"/>
        <w:rPr>
          <w:color w:val="auto"/>
          <w:spacing w:val="-65"/>
          <w:sz w:val="32"/>
        </w:rPr>
      </w:pPr>
    </w:p>
    <w:p>
      <w:pPr>
        <w:tabs>
          <w:tab w:val="left" w:pos="5392"/>
        </w:tabs>
        <w:spacing w:before="54"/>
        <w:ind w:right="0"/>
        <w:jc w:val="left"/>
        <w:rPr>
          <w:color w:val="auto"/>
          <w:spacing w:val="-65"/>
          <w:sz w:val="32"/>
        </w:rPr>
      </w:pPr>
    </w:p>
    <w:p>
      <w:pPr>
        <w:tabs>
          <w:tab w:val="left" w:pos="5392"/>
        </w:tabs>
        <w:spacing w:before="54"/>
        <w:ind w:right="0"/>
        <w:jc w:val="center"/>
        <w:rPr>
          <w:rFonts w:hint="eastAsia" w:ascii="仿宋" w:eastAsia="仿宋"/>
          <w:color w:val="auto"/>
          <w:sz w:val="32"/>
        </w:rPr>
      </w:pPr>
      <w:r>
        <w:rPr>
          <w:color w:val="auto"/>
          <w:spacing w:val="-65"/>
          <w:sz w:val="32"/>
        </w:rPr>
        <w:t>修</w:t>
      </w:r>
      <w:r>
        <w:rPr>
          <w:color w:val="auto"/>
          <w:sz w:val="32"/>
        </w:rPr>
        <w:t>（制</w:t>
      </w:r>
      <w:r>
        <w:rPr>
          <w:color w:val="auto"/>
          <w:spacing w:val="-65"/>
          <w:sz w:val="32"/>
        </w:rPr>
        <w:t>）</w:t>
      </w:r>
      <w:r>
        <w:rPr>
          <w:color w:val="auto"/>
          <w:sz w:val="32"/>
        </w:rPr>
        <w:t>订时间：</w:t>
      </w:r>
      <w:r>
        <w:rPr>
          <w:rFonts w:hint="eastAsia" w:ascii="仿宋" w:eastAsia="仿宋"/>
          <w:color w:val="auto"/>
          <w:sz w:val="32"/>
        </w:rPr>
        <w:t>202</w:t>
      </w:r>
      <w:r>
        <w:rPr>
          <w:rFonts w:hint="eastAsia" w:ascii="仿宋" w:eastAsia="仿宋"/>
          <w:color w:val="auto"/>
          <w:sz w:val="32"/>
          <w:lang w:val="en-US" w:eastAsia="zh-CN"/>
        </w:rPr>
        <w:t>1</w:t>
      </w:r>
      <w:r>
        <w:rPr>
          <w:rFonts w:hint="eastAsia" w:ascii="仿宋" w:eastAsia="仿宋"/>
          <w:color w:val="auto"/>
          <w:sz w:val="32"/>
        </w:rPr>
        <w:t>年</w:t>
      </w:r>
      <w:r>
        <w:rPr>
          <w:rFonts w:hint="eastAsia" w:ascii="仿宋" w:eastAsia="仿宋"/>
          <w:color w:val="auto"/>
          <w:spacing w:val="-79"/>
          <w:sz w:val="32"/>
        </w:rPr>
        <w:t xml:space="preserve"> </w:t>
      </w:r>
      <w:r>
        <w:rPr>
          <w:rFonts w:hint="eastAsia" w:ascii="仿宋" w:eastAsia="仿宋"/>
          <w:color w:val="auto"/>
          <w:sz w:val="32"/>
        </w:rPr>
        <w:t>8</w:t>
      </w:r>
      <w:r>
        <w:rPr>
          <w:rFonts w:hint="eastAsia" w:ascii="仿宋" w:eastAsia="仿宋"/>
          <w:color w:val="auto"/>
          <w:spacing w:val="-80"/>
          <w:sz w:val="32"/>
        </w:rPr>
        <w:t xml:space="preserve"> </w:t>
      </w:r>
      <w:r>
        <w:rPr>
          <w:rFonts w:hint="eastAsia" w:ascii="仿宋" w:eastAsia="仿宋"/>
          <w:color w:val="auto"/>
          <w:sz w:val="32"/>
        </w:rPr>
        <w:t>月</w:t>
      </w:r>
    </w:p>
    <w:p>
      <w:pPr>
        <w:rPr>
          <w:color w:val="auto"/>
        </w:rPr>
      </w:pPr>
    </w:p>
    <w:p>
      <w:pPr>
        <w:rPr>
          <w:color w:val="auto"/>
        </w:rPr>
        <w:sectPr>
          <w:headerReference r:id="rId3" w:type="default"/>
          <w:footerReference r:id="rId4" w:type="default"/>
          <w:pgSz w:w="11906" w:h="16838"/>
          <w:pgMar w:top="1134" w:right="1134" w:bottom="1134" w:left="1134" w:header="851" w:footer="992" w:gutter="0"/>
          <w:cols w:space="0" w:num="1"/>
          <w:rtlGutter w:val="0"/>
          <w:docGrid w:type="lines" w:linePitch="312" w:charSpace="0"/>
        </w:sectPr>
      </w:pPr>
    </w:p>
    <w:p>
      <w:pPr>
        <w:jc w:val="center"/>
        <w:rPr>
          <w:rFonts w:hint="eastAsia" w:eastAsia="仿宋_GB2312"/>
          <w:color w:val="auto"/>
          <w:sz w:val="44"/>
          <w:szCs w:val="44"/>
          <w:lang w:val="en-US" w:eastAsia="zh-CN"/>
        </w:rPr>
      </w:pPr>
      <w:r>
        <w:rPr>
          <w:rFonts w:hint="eastAsia"/>
          <w:b/>
          <w:bCs/>
          <w:color w:val="auto"/>
          <w:sz w:val="44"/>
          <w:szCs w:val="44"/>
          <w:lang w:val="en-US" w:eastAsia="zh-CN"/>
        </w:rPr>
        <w:t>目录</w:t>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bookmarkStart w:id="0" w:name="_Toc17653"/>
      <w:bookmarkStart w:id="1" w:name="_Toc32493"/>
      <w:r>
        <w:rPr>
          <w:rFonts w:hint="eastAsia" w:ascii="仿宋_GB2312" w:hAnsi="仿宋_GB2312" w:eastAsia="仿宋_GB2312" w:cs="仿宋_GB2312"/>
          <w:color w:val="auto"/>
          <w:sz w:val="28"/>
          <w:szCs w:val="28"/>
        </w:rPr>
        <w:fldChar w:fldCharType="begin"/>
      </w:r>
      <w:r>
        <w:rPr>
          <w:rFonts w:hint="eastAsia" w:ascii="仿宋_GB2312" w:hAnsi="仿宋_GB2312" w:eastAsia="仿宋_GB2312" w:cs="仿宋_GB2312"/>
          <w:color w:val="auto"/>
          <w:sz w:val="28"/>
          <w:szCs w:val="28"/>
        </w:rPr>
        <w:instrText xml:space="preserve">TOC \o "1-2" \h \u </w:instrText>
      </w:r>
      <w:r>
        <w:rPr>
          <w:rFonts w:hint="eastAsia" w:ascii="仿宋_GB2312" w:hAnsi="仿宋_GB2312" w:eastAsia="仿宋_GB2312" w:cs="仿宋_GB2312"/>
          <w:color w:val="auto"/>
          <w:sz w:val="28"/>
          <w:szCs w:val="28"/>
        </w:rPr>
        <w:fldChar w:fldCharType="separate"/>
      </w: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_Toc29315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一、专业名称（专业代码）</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_Toc29315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_Toc14981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二、入学要求</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_Toc14981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_Toc14218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三、修业年限</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_Toc14218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_Toc12939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四、职业面向和接续专业</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_Toc12939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_Toc22472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（一</w:t>
      </w:r>
      <w:r>
        <w:rPr>
          <w:rFonts w:hint="eastAsia" w:ascii="仿宋_GB2312" w:hAnsi="仿宋_GB2312" w:eastAsia="仿宋_GB2312" w:cs="仿宋_GB2312"/>
          <w:color w:val="auto"/>
          <w:kern w:val="44"/>
          <w:sz w:val="28"/>
          <w:szCs w:val="28"/>
          <w:lang w:val="zh-CN" w:eastAsia="zh-CN" w:bidi="ar-SA"/>
        </w:rPr>
        <w:t>）职</w:t>
      </w:r>
      <w:r>
        <w:rPr>
          <w:rFonts w:hint="eastAsia" w:ascii="仿宋_GB2312" w:hAnsi="仿宋_GB2312" w:eastAsia="仿宋_GB2312" w:cs="仿宋_GB2312"/>
          <w:color w:val="auto"/>
          <w:kern w:val="44"/>
          <w:sz w:val="28"/>
          <w:szCs w:val="28"/>
          <w:lang w:val="en-US" w:eastAsia="zh-CN" w:bidi="ar-SA"/>
        </w:rPr>
        <w:t>业面向</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_Toc22472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_Toc8197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（二</w:t>
      </w:r>
      <w:r>
        <w:rPr>
          <w:rFonts w:hint="eastAsia" w:ascii="仿宋_GB2312" w:hAnsi="仿宋_GB2312" w:eastAsia="仿宋_GB2312" w:cs="仿宋_GB2312"/>
          <w:color w:val="auto"/>
          <w:kern w:val="44"/>
          <w:sz w:val="28"/>
          <w:szCs w:val="28"/>
          <w:lang w:val="zh-CN" w:eastAsia="zh-CN" w:bidi="ar-SA"/>
        </w:rPr>
        <w:t>）接</w:t>
      </w:r>
      <w:r>
        <w:rPr>
          <w:rFonts w:hint="eastAsia" w:ascii="仿宋_GB2312" w:hAnsi="仿宋_GB2312" w:eastAsia="仿宋_GB2312" w:cs="仿宋_GB2312"/>
          <w:color w:val="auto"/>
          <w:kern w:val="44"/>
          <w:sz w:val="28"/>
          <w:szCs w:val="28"/>
          <w:lang w:val="en-US" w:eastAsia="zh-CN" w:bidi="ar-SA"/>
        </w:rPr>
        <w:t>续专业</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_Toc8197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_Toc28515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五、培养目标与培养规格</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_Toc28515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2</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_Toc22839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（一）培养目标</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_Toc22839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2</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_Toc25442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（二）培养规格</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_Toc25442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2</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_Toc16280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六、课程设置及要求</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_Toc16280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5</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_Toc1477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（一）</w:t>
      </w:r>
      <w:r>
        <w:rPr>
          <w:rFonts w:hint="eastAsia" w:ascii="仿宋_GB2312" w:hAnsi="仿宋_GB2312" w:eastAsia="仿宋_GB2312" w:cs="仿宋_GB2312"/>
          <w:color w:val="auto"/>
          <w:kern w:val="44"/>
          <w:sz w:val="28"/>
          <w:szCs w:val="28"/>
          <w:lang w:val="zh-CN" w:eastAsia="zh-CN" w:bidi="ar-SA"/>
        </w:rPr>
        <w:t>课</w:t>
      </w:r>
      <w:r>
        <w:rPr>
          <w:rFonts w:hint="eastAsia" w:ascii="仿宋_GB2312" w:hAnsi="仿宋_GB2312" w:eastAsia="仿宋_GB2312" w:cs="仿宋_GB2312"/>
          <w:color w:val="auto"/>
          <w:kern w:val="44"/>
          <w:sz w:val="28"/>
          <w:szCs w:val="28"/>
          <w:lang w:val="en-US" w:eastAsia="zh-CN" w:bidi="ar-SA"/>
        </w:rPr>
        <w:t>程结构</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_Toc1477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5</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_Toc514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（二）课程设置及要求</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_Toc514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6</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_Toc17259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七、教学进程总体安排</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_Toc17259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10</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_Toc13699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（一）基本要求</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_Toc13699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10</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_Toc29230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（二）教学进度安排</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_Toc29230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10</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_Toc8584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八、实施保障</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_Toc8584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12</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_Toc18651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（一）</w:t>
      </w:r>
      <w:r>
        <w:rPr>
          <w:rFonts w:hint="eastAsia" w:ascii="仿宋_GB2312" w:hAnsi="仿宋_GB2312" w:eastAsia="仿宋_GB2312" w:cs="仿宋_GB2312"/>
          <w:color w:val="auto"/>
          <w:kern w:val="44"/>
          <w:sz w:val="28"/>
          <w:szCs w:val="28"/>
          <w:lang w:val="zh-CN" w:eastAsia="zh-CN" w:bidi="ar-SA"/>
        </w:rPr>
        <w:t>师</w:t>
      </w:r>
      <w:r>
        <w:rPr>
          <w:rFonts w:hint="eastAsia" w:ascii="仿宋_GB2312" w:hAnsi="仿宋_GB2312" w:eastAsia="仿宋_GB2312" w:cs="仿宋_GB2312"/>
          <w:color w:val="auto"/>
          <w:kern w:val="44"/>
          <w:sz w:val="28"/>
          <w:szCs w:val="28"/>
          <w:lang w:val="en-US" w:eastAsia="zh-CN" w:bidi="ar-SA"/>
        </w:rPr>
        <w:t>资队伍</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_Toc18651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12</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_Toc17009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（二）</w:t>
      </w:r>
      <w:r>
        <w:rPr>
          <w:rFonts w:hint="eastAsia" w:ascii="仿宋_GB2312" w:hAnsi="仿宋_GB2312" w:eastAsia="仿宋_GB2312" w:cs="仿宋_GB2312"/>
          <w:color w:val="auto"/>
          <w:kern w:val="44"/>
          <w:sz w:val="28"/>
          <w:szCs w:val="28"/>
          <w:lang w:val="zh-CN" w:eastAsia="zh-CN" w:bidi="ar-SA"/>
        </w:rPr>
        <w:t>教</w:t>
      </w:r>
      <w:r>
        <w:rPr>
          <w:rFonts w:hint="eastAsia" w:ascii="仿宋_GB2312" w:hAnsi="仿宋_GB2312" w:eastAsia="仿宋_GB2312" w:cs="仿宋_GB2312"/>
          <w:color w:val="auto"/>
          <w:kern w:val="44"/>
          <w:sz w:val="28"/>
          <w:szCs w:val="28"/>
          <w:lang w:val="en-US" w:eastAsia="zh-CN" w:bidi="ar-SA"/>
        </w:rPr>
        <w:t>学设施</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_Toc17009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12</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_Toc6129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（三）</w:t>
      </w:r>
      <w:r>
        <w:rPr>
          <w:rFonts w:hint="eastAsia" w:ascii="仿宋_GB2312" w:hAnsi="仿宋_GB2312" w:eastAsia="仿宋_GB2312" w:cs="仿宋_GB2312"/>
          <w:color w:val="auto"/>
          <w:kern w:val="44"/>
          <w:sz w:val="28"/>
          <w:szCs w:val="28"/>
          <w:lang w:val="zh-CN" w:eastAsia="zh-CN" w:bidi="ar-SA"/>
        </w:rPr>
        <w:t>教</w:t>
      </w:r>
      <w:r>
        <w:rPr>
          <w:rFonts w:hint="eastAsia" w:ascii="仿宋_GB2312" w:hAnsi="仿宋_GB2312" w:eastAsia="仿宋_GB2312" w:cs="仿宋_GB2312"/>
          <w:color w:val="auto"/>
          <w:kern w:val="44"/>
          <w:sz w:val="28"/>
          <w:szCs w:val="28"/>
          <w:lang w:val="en-US" w:eastAsia="zh-CN" w:bidi="ar-SA"/>
        </w:rPr>
        <w:t>学资源</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_Toc6129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16</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_Toc24027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（四）</w:t>
      </w:r>
      <w:r>
        <w:rPr>
          <w:rFonts w:hint="eastAsia" w:ascii="仿宋_GB2312" w:hAnsi="仿宋_GB2312" w:eastAsia="仿宋_GB2312" w:cs="仿宋_GB2312"/>
          <w:color w:val="auto"/>
          <w:kern w:val="44"/>
          <w:sz w:val="28"/>
          <w:szCs w:val="28"/>
          <w:lang w:val="zh-CN" w:eastAsia="zh-CN" w:bidi="ar-SA"/>
        </w:rPr>
        <w:t>教</w:t>
      </w:r>
      <w:r>
        <w:rPr>
          <w:rFonts w:hint="eastAsia" w:ascii="仿宋_GB2312" w:hAnsi="仿宋_GB2312" w:eastAsia="仿宋_GB2312" w:cs="仿宋_GB2312"/>
          <w:color w:val="auto"/>
          <w:kern w:val="44"/>
          <w:sz w:val="28"/>
          <w:szCs w:val="28"/>
          <w:lang w:val="en-US" w:eastAsia="zh-CN" w:bidi="ar-SA"/>
        </w:rPr>
        <w:t>学方法</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_Toc24027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16</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_Toc20812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（五）学习评价</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_Toc20812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17</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_Toc7712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（六）质量管理</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_Toc7712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18</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_Toc7713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九、毕业要求</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_Toc7713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18</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1"/>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_Toc5845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十、其他</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_Toc5845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19</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_Toc32256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（一）编写依据</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_Toc32256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19</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_Toc25178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（二）适用范围</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_Toc25178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19</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14"/>
        <w:pageBreakBefore w:val="0"/>
        <w:widowControl w:val="0"/>
        <w:tabs>
          <w:tab w:val="right" w:leader="dot" w:pos="9638"/>
        </w:tabs>
        <w:kinsoku/>
        <w:wordWrap/>
        <w:overflowPunct/>
        <w:topLinePunct w:val="0"/>
        <w:autoSpaceDE/>
        <w:autoSpaceDN/>
        <w:bidi w:val="0"/>
        <w:adjustRightInd/>
        <w:snapToGrid/>
        <w:spacing w:line="500" w:lineRule="exact"/>
        <w:ind w:right="0" w:rightChars="0" w:firstLine="0" w:firstLineChars="0"/>
        <w:jc w:val="both"/>
        <w:textAlignment w:val="auto"/>
        <w:rPr>
          <w:rFonts w:ascii="Times New Roman" w:hAnsi="Times New Roman" w:eastAsia="仿宋_GB2312" w:cs="Times New Roman"/>
          <w:color w:val="auto"/>
          <w:kern w:val="44"/>
          <w:sz w:val="28"/>
          <w:szCs w:val="28"/>
          <w:lang w:val="en-US" w:eastAsia="zh-CN" w:bidi="ar-SA"/>
        </w:rPr>
      </w:pPr>
      <w:r>
        <w:rPr>
          <w:rFonts w:hint="eastAsia" w:ascii="仿宋_GB2312" w:hAnsi="仿宋_GB2312" w:eastAsia="仿宋_GB2312" w:cs="仿宋_GB2312"/>
          <w:color w:val="auto"/>
          <w:kern w:val="44"/>
          <w:sz w:val="28"/>
          <w:szCs w:val="28"/>
          <w:lang w:val="en-US" w:eastAsia="zh-CN" w:bidi="ar-SA"/>
        </w:rPr>
        <w:fldChar w:fldCharType="begin"/>
      </w:r>
      <w:r>
        <w:rPr>
          <w:rFonts w:hint="eastAsia" w:ascii="仿宋_GB2312" w:hAnsi="仿宋_GB2312" w:eastAsia="仿宋_GB2312" w:cs="仿宋_GB2312"/>
          <w:color w:val="auto"/>
          <w:kern w:val="44"/>
          <w:sz w:val="28"/>
          <w:szCs w:val="28"/>
          <w:lang w:val="en-US" w:eastAsia="zh-CN" w:bidi="ar-SA"/>
        </w:rPr>
        <w:instrText xml:space="preserve"> HYPERLINK \l _Toc32432 </w:instrText>
      </w:r>
      <w:r>
        <w:rPr>
          <w:rFonts w:hint="eastAsia" w:ascii="仿宋_GB2312" w:hAnsi="仿宋_GB2312" w:eastAsia="仿宋_GB2312" w:cs="仿宋_GB2312"/>
          <w:color w:val="auto"/>
          <w:kern w:val="44"/>
          <w:sz w:val="28"/>
          <w:szCs w:val="28"/>
          <w:lang w:val="en-US" w:eastAsia="zh-CN" w:bidi="ar-SA"/>
        </w:rPr>
        <w:fldChar w:fldCharType="separate"/>
      </w:r>
      <w:r>
        <w:rPr>
          <w:rFonts w:hint="eastAsia" w:ascii="仿宋_GB2312" w:hAnsi="仿宋_GB2312" w:eastAsia="仿宋_GB2312" w:cs="仿宋_GB2312"/>
          <w:color w:val="auto"/>
          <w:kern w:val="44"/>
          <w:sz w:val="28"/>
          <w:szCs w:val="28"/>
          <w:lang w:val="en-US" w:eastAsia="zh-CN" w:bidi="ar-SA"/>
        </w:rPr>
        <w:t>（三）修订原则</w:t>
      </w:r>
      <w:r>
        <w:rPr>
          <w:rFonts w:ascii="Times New Roman" w:hAnsi="Times New Roman" w:eastAsia="仿宋_GB2312" w:cs="Times New Roman"/>
          <w:color w:val="auto"/>
          <w:kern w:val="44"/>
          <w:sz w:val="28"/>
          <w:szCs w:val="28"/>
          <w:lang w:val="en-US" w:eastAsia="zh-CN" w:bidi="ar-SA"/>
        </w:rPr>
        <w:tab/>
      </w:r>
      <w:r>
        <w:rPr>
          <w:rFonts w:ascii="Times New Roman" w:hAnsi="Times New Roman" w:eastAsia="仿宋_GB2312" w:cs="Times New Roman"/>
          <w:color w:val="auto"/>
          <w:kern w:val="44"/>
          <w:sz w:val="28"/>
          <w:szCs w:val="28"/>
          <w:lang w:val="en-US" w:eastAsia="zh-CN" w:bidi="ar-SA"/>
        </w:rPr>
        <w:fldChar w:fldCharType="begin"/>
      </w:r>
      <w:r>
        <w:rPr>
          <w:rFonts w:ascii="Times New Roman" w:hAnsi="Times New Roman" w:eastAsia="仿宋_GB2312" w:cs="Times New Roman"/>
          <w:color w:val="auto"/>
          <w:kern w:val="44"/>
          <w:sz w:val="28"/>
          <w:szCs w:val="28"/>
          <w:lang w:val="en-US" w:eastAsia="zh-CN" w:bidi="ar-SA"/>
        </w:rPr>
        <w:instrText xml:space="preserve"> PAGEREF _Toc32432 </w:instrText>
      </w:r>
      <w:r>
        <w:rPr>
          <w:rFonts w:ascii="Times New Roman" w:hAnsi="Times New Roman" w:eastAsia="仿宋_GB2312" w:cs="Times New Roman"/>
          <w:color w:val="auto"/>
          <w:kern w:val="44"/>
          <w:sz w:val="28"/>
          <w:szCs w:val="28"/>
          <w:lang w:val="en-US" w:eastAsia="zh-CN" w:bidi="ar-SA"/>
        </w:rPr>
        <w:fldChar w:fldCharType="separate"/>
      </w:r>
      <w:r>
        <w:rPr>
          <w:rFonts w:ascii="Times New Roman" w:hAnsi="Times New Roman" w:eastAsia="仿宋_GB2312" w:cs="Times New Roman"/>
          <w:color w:val="auto"/>
          <w:kern w:val="44"/>
          <w:sz w:val="28"/>
          <w:szCs w:val="28"/>
          <w:lang w:val="en-US" w:eastAsia="zh-CN" w:bidi="ar-SA"/>
        </w:rPr>
        <w:t>19</w:t>
      </w:r>
      <w:r>
        <w:rPr>
          <w:rFonts w:ascii="Times New Roman" w:hAnsi="Times New Roman" w:eastAsia="仿宋_GB2312" w:cs="Times New Roman"/>
          <w:color w:val="auto"/>
          <w:kern w:val="44"/>
          <w:sz w:val="28"/>
          <w:szCs w:val="28"/>
          <w:lang w:val="en-US" w:eastAsia="zh-CN" w:bidi="ar-SA"/>
        </w:rPr>
        <w:fldChar w:fldCharType="end"/>
      </w:r>
      <w:r>
        <w:rPr>
          <w:rFonts w:hint="eastAsia" w:ascii="仿宋_GB2312" w:hAnsi="仿宋_GB2312" w:eastAsia="仿宋_GB2312" w:cs="仿宋_GB2312"/>
          <w:color w:val="auto"/>
          <w:kern w:val="44"/>
          <w:sz w:val="28"/>
          <w:szCs w:val="28"/>
          <w:lang w:val="en-US" w:eastAsia="zh-CN" w:bidi="ar-SA"/>
        </w:rPr>
        <w:fldChar w:fldCharType="end"/>
      </w:r>
    </w:p>
    <w:p>
      <w:pPr>
        <w:pStyle w:val="2"/>
        <w:pageBreakBefore w:val="0"/>
        <w:widowControl w:val="0"/>
        <w:kinsoku/>
        <w:wordWrap/>
        <w:overflowPunct/>
        <w:topLinePunct w:val="0"/>
        <w:autoSpaceDE/>
        <w:autoSpaceDN/>
        <w:bidi w:val="0"/>
        <w:adjustRightInd/>
        <w:snapToGrid/>
        <w:spacing w:line="500" w:lineRule="exact"/>
        <w:ind w:right="0" w:rightChars="0" w:firstLine="0" w:firstLineChars="0"/>
        <w:jc w:val="both"/>
        <w:textAlignment w:val="auto"/>
        <w:rPr>
          <w:rFonts w:hint="eastAsia" w:ascii="仿宋_GB2312" w:hAnsi="仿宋_GB2312" w:eastAsia="仿宋_GB2312" w:cs="仿宋_GB2312"/>
          <w:color w:val="auto"/>
          <w:kern w:val="44"/>
          <w:sz w:val="28"/>
          <w:szCs w:val="28"/>
          <w:lang w:val="en-US" w:eastAsia="zh-CN" w:bidi="ar-SA"/>
        </w:rPr>
        <w:sectPr>
          <w:footerReference r:id="rId5" w:type="default"/>
          <w:pgSz w:w="11906" w:h="16838"/>
          <w:pgMar w:top="1134" w:right="1134" w:bottom="1134" w:left="1134" w:header="851" w:footer="992" w:gutter="0"/>
          <w:pgNumType w:fmt="decimal" w:start="1"/>
          <w:cols w:space="0" w:num="1"/>
          <w:rtlGutter w:val="0"/>
          <w:docGrid w:type="lines" w:linePitch="312" w:charSpace="0"/>
        </w:sectPr>
      </w:pPr>
    </w:p>
    <w:p>
      <w:pPr>
        <w:pStyle w:val="2"/>
        <w:pageBreakBefore w:val="0"/>
        <w:widowControl w:val="0"/>
        <w:kinsoku/>
        <w:wordWrap/>
        <w:overflowPunct/>
        <w:topLinePunct w:val="0"/>
        <w:autoSpaceDE/>
        <w:autoSpaceDN/>
        <w:bidi w:val="0"/>
        <w:adjustRightInd/>
        <w:snapToGrid/>
        <w:spacing w:before="0" w:beforeLines="0" w:after="0" w:afterLines="0" w:line="560" w:lineRule="exact"/>
        <w:ind w:right="0" w:rightChars="0" w:firstLine="0" w:firstLineChars="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44"/>
          <w:sz w:val="28"/>
          <w:szCs w:val="28"/>
          <w:lang w:val="en-US" w:eastAsia="zh-CN" w:bidi="ar-SA"/>
        </w:rPr>
        <w:fldChar w:fldCharType="end"/>
      </w:r>
      <w:bookmarkStart w:id="2" w:name="_Toc29315"/>
      <w:r>
        <w:rPr>
          <w:rFonts w:hint="eastAsia" w:ascii="仿宋_GB2312" w:hAnsi="仿宋_GB2312" w:cs="仿宋_GB2312"/>
          <w:color w:val="auto"/>
          <w:kern w:val="44"/>
          <w:sz w:val="28"/>
          <w:szCs w:val="28"/>
          <w:lang w:val="en-US" w:eastAsia="zh-CN" w:bidi="ar-SA"/>
        </w:rPr>
        <w:t xml:space="preserve">    </w:t>
      </w:r>
      <w:r>
        <w:rPr>
          <w:rFonts w:hint="eastAsia" w:ascii="仿宋_GB2312" w:hAnsi="仿宋_GB2312" w:eastAsia="仿宋_GB2312" w:cs="仿宋_GB2312"/>
          <w:color w:val="auto"/>
          <w:sz w:val="32"/>
          <w:szCs w:val="32"/>
        </w:rPr>
        <w:t>一、专业名称（专业</w:t>
      </w:r>
      <w:r>
        <w:rPr>
          <w:rFonts w:hint="eastAsia" w:ascii="仿宋_GB2312" w:hAnsi="仿宋_GB2312" w:cs="仿宋_GB2312"/>
          <w:color w:val="auto"/>
          <w:sz w:val="32"/>
          <w:szCs w:val="32"/>
          <w:lang w:val="en-US" w:eastAsia="zh-CN"/>
        </w:rPr>
        <w:t>代码</w:t>
      </w:r>
      <w:r>
        <w:rPr>
          <w:rFonts w:hint="eastAsia" w:ascii="仿宋_GB2312" w:hAnsi="仿宋_GB2312" w:eastAsia="仿宋_GB2312" w:cs="仿宋_GB2312"/>
          <w:color w:val="auto"/>
          <w:sz w:val="32"/>
          <w:szCs w:val="32"/>
        </w:rPr>
        <w:t>）</w:t>
      </w:r>
      <w:bookmarkEnd w:id="0"/>
      <w:bookmarkEnd w:id="1"/>
      <w:bookmarkEnd w:id="2"/>
    </w:p>
    <w:p>
      <w:pPr>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专业名称：</w:t>
      </w:r>
      <w:r>
        <w:rPr>
          <w:rFonts w:hint="eastAsia" w:ascii="仿宋_GB2312" w:hAnsi="仿宋_GB2312" w:eastAsia="仿宋_GB2312" w:cs="仿宋_GB2312"/>
          <w:color w:val="auto"/>
          <w:sz w:val="28"/>
          <w:szCs w:val="28"/>
        </w:rPr>
        <w:t>汽车运用与维修</w:t>
      </w:r>
    </w:p>
    <w:p>
      <w:pPr>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专业代码</w:t>
      </w:r>
      <w:r>
        <w:rPr>
          <w:rFonts w:hint="eastAsia" w:ascii="仿宋_GB2312" w:hAnsi="仿宋_GB2312" w:eastAsia="仿宋_GB2312" w:cs="仿宋_GB2312"/>
          <w:color w:val="auto"/>
          <w:sz w:val="28"/>
          <w:szCs w:val="28"/>
          <w:lang w:eastAsia="zh-CN"/>
        </w:rPr>
        <w:t>：</w:t>
      </w:r>
      <w:r>
        <w:rPr>
          <w:rFonts w:hint="eastAsia" w:ascii="仿宋_GB2312" w:hAnsi="仿宋_GB2312" w:cs="仿宋_GB2312"/>
          <w:color w:val="auto"/>
          <w:sz w:val="28"/>
          <w:szCs w:val="28"/>
          <w:lang w:val="en-US" w:eastAsia="zh-CN"/>
        </w:rPr>
        <w:t>700206</w:t>
      </w:r>
    </w:p>
    <w:p>
      <w:pPr>
        <w:pStyle w:val="2"/>
        <w:pageBreakBefore w:val="0"/>
        <w:widowControl w:val="0"/>
        <w:kinsoku/>
        <w:wordWrap/>
        <w:overflowPunct/>
        <w:topLinePunct w:val="0"/>
        <w:autoSpaceDE/>
        <w:autoSpaceDN/>
        <w:bidi w:val="0"/>
        <w:adjustRightInd/>
        <w:snapToGrid/>
        <w:spacing w:before="0" w:beforeLines="0" w:after="0" w:afterLines="0" w:line="560" w:lineRule="exact"/>
        <w:ind w:right="0" w:rightChars="0" w:firstLine="643" w:firstLineChars="200"/>
        <w:jc w:val="both"/>
        <w:textAlignment w:val="auto"/>
        <w:rPr>
          <w:rFonts w:hint="eastAsia" w:ascii="仿宋_GB2312" w:hAnsi="仿宋_GB2312" w:eastAsia="仿宋_GB2312" w:cs="仿宋_GB2312"/>
          <w:color w:val="auto"/>
          <w:sz w:val="32"/>
          <w:szCs w:val="32"/>
        </w:rPr>
      </w:pPr>
      <w:bookmarkStart w:id="3" w:name="bookmark10"/>
      <w:bookmarkStart w:id="4" w:name="bookmark9"/>
      <w:bookmarkStart w:id="5" w:name="bookmark11"/>
      <w:bookmarkStart w:id="6" w:name="_Toc27097"/>
      <w:bookmarkStart w:id="7" w:name="_Toc27310"/>
      <w:bookmarkStart w:id="8" w:name="_Toc15543"/>
      <w:bookmarkStart w:id="9" w:name="bookmark8"/>
      <w:bookmarkStart w:id="10" w:name="_Toc14981"/>
      <w:r>
        <w:rPr>
          <w:rFonts w:hint="eastAsia" w:ascii="仿宋_GB2312" w:hAnsi="仿宋_GB2312" w:eastAsia="仿宋_GB2312" w:cs="仿宋_GB2312"/>
          <w:color w:val="auto"/>
          <w:sz w:val="32"/>
          <w:szCs w:val="32"/>
        </w:rPr>
        <w:t>二</w:t>
      </w:r>
      <w:bookmarkEnd w:id="3"/>
      <w:r>
        <w:rPr>
          <w:rFonts w:hint="eastAsia" w:ascii="仿宋_GB2312" w:hAnsi="仿宋_GB2312" w:eastAsia="仿宋_GB2312" w:cs="仿宋_GB2312"/>
          <w:color w:val="auto"/>
          <w:sz w:val="32"/>
          <w:szCs w:val="32"/>
        </w:rPr>
        <w:t>、入学要求</w:t>
      </w:r>
      <w:bookmarkEnd w:id="4"/>
      <w:bookmarkEnd w:id="5"/>
      <w:bookmarkEnd w:id="6"/>
      <w:bookmarkEnd w:id="7"/>
      <w:bookmarkEnd w:id="8"/>
      <w:bookmarkEnd w:id="9"/>
      <w:bookmarkEnd w:id="1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初中毕业或具有同等及以上学力者</w:t>
      </w:r>
      <w:bookmarkStart w:id="11" w:name="bookmark14"/>
      <w:bookmarkStart w:id="12" w:name="_Toc29084"/>
      <w:bookmarkStart w:id="13" w:name="_Toc26669"/>
      <w:bookmarkStart w:id="14" w:name="bookmark12"/>
      <w:bookmarkStart w:id="15" w:name="bookmark15"/>
      <w:bookmarkStart w:id="16" w:name="_Toc14218"/>
      <w:bookmarkStart w:id="17" w:name="_Toc3197"/>
      <w:bookmarkStart w:id="18" w:name="bookmark13"/>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三</w:t>
      </w:r>
      <w:bookmarkEnd w:id="11"/>
      <w:r>
        <w:rPr>
          <w:rFonts w:hint="eastAsia" w:ascii="仿宋_GB2312" w:hAnsi="仿宋_GB2312" w:eastAsia="仿宋_GB2312" w:cs="仿宋_GB2312"/>
          <w:b/>
          <w:bCs/>
          <w:color w:val="auto"/>
          <w:sz w:val="32"/>
          <w:szCs w:val="32"/>
        </w:rPr>
        <w:t>、修业年限</w:t>
      </w:r>
      <w:bookmarkEnd w:id="12"/>
      <w:bookmarkEnd w:id="13"/>
      <w:bookmarkEnd w:id="14"/>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三年</w:t>
      </w:r>
    </w:p>
    <w:p>
      <w:pPr>
        <w:pStyle w:val="2"/>
        <w:pageBreakBefore w:val="0"/>
        <w:widowControl w:val="0"/>
        <w:kinsoku/>
        <w:wordWrap/>
        <w:overflowPunct/>
        <w:topLinePunct w:val="0"/>
        <w:autoSpaceDE/>
        <w:autoSpaceDN/>
        <w:bidi w:val="0"/>
        <w:adjustRightInd/>
        <w:snapToGrid/>
        <w:spacing w:before="0" w:beforeLines="0" w:after="0" w:afterLines="0" w:line="560" w:lineRule="exact"/>
        <w:ind w:right="0" w:rightChars="0" w:firstLine="643" w:firstLineChars="200"/>
        <w:jc w:val="both"/>
        <w:textAlignment w:val="auto"/>
        <w:rPr>
          <w:rFonts w:hint="eastAsia" w:ascii="仿宋_GB2312" w:hAnsi="仿宋_GB2312" w:eastAsia="仿宋_GB2312" w:cs="仿宋_GB2312"/>
          <w:color w:val="auto"/>
          <w:sz w:val="32"/>
          <w:szCs w:val="32"/>
        </w:rPr>
      </w:pPr>
      <w:bookmarkStart w:id="19" w:name="bookmark16"/>
      <w:bookmarkStart w:id="20" w:name="_Toc22514"/>
      <w:bookmarkStart w:id="21" w:name="_Toc12939"/>
      <w:bookmarkStart w:id="22" w:name="_Toc29307"/>
      <w:bookmarkStart w:id="23" w:name="_Toc25014"/>
      <w:r>
        <w:rPr>
          <w:rFonts w:hint="eastAsia" w:ascii="仿宋_GB2312" w:hAnsi="仿宋_GB2312" w:eastAsia="仿宋_GB2312" w:cs="仿宋_GB2312"/>
          <w:color w:val="auto"/>
          <w:sz w:val="32"/>
          <w:szCs w:val="32"/>
        </w:rPr>
        <w:t>四</w:t>
      </w:r>
      <w:bookmarkEnd w:id="19"/>
      <w:r>
        <w:rPr>
          <w:rFonts w:hint="eastAsia" w:ascii="仿宋_GB2312" w:hAnsi="仿宋_GB2312" w:eastAsia="仿宋_GB2312" w:cs="仿宋_GB2312"/>
          <w:color w:val="auto"/>
          <w:sz w:val="32"/>
          <w:szCs w:val="32"/>
        </w:rPr>
        <w:t>、职业面向和接续专业</w:t>
      </w:r>
      <w:bookmarkEnd w:id="20"/>
      <w:bookmarkEnd w:id="21"/>
      <w:bookmarkEnd w:id="22"/>
      <w:bookmarkEnd w:id="23"/>
    </w:p>
    <w:p>
      <w:pPr>
        <w:pStyle w:val="3"/>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62" w:firstLineChars="200"/>
        <w:jc w:val="both"/>
        <w:textAlignment w:val="auto"/>
        <w:rPr>
          <w:rFonts w:hint="eastAsia" w:ascii="仿宋_GB2312" w:hAnsi="仿宋_GB2312" w:eastAsia="仿宋_GB2312" w:cs="仿宋_GB2312"/>
          <w:color w:val="auto"/>
          <w:sz w:val="28"/>
          <w:szCs w:val="28"/>
          <w:lang w:val="en-US" w:eastAsia="zh-CN"/>
        </w:rPr>
      </w:pPr>
      <w:bookmarkStart w:id="24" w:name="_Toc21411"/>
      <w:bookmarkStart w:id="25" w:name="_Toc31534"/>
      <w:bookmarkStart w:id="26" w:name="_Toc15343"/>
      <w:bookmarkStart w:id="27" w:name="_Toc22472"/>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val="zh-CN" w:eastAsia="zh-CN"/>
        </w:rPr>
        <w:t>）职</w:t>
      </w:r>
      <w:r>
        <w:rPr>
          <w:rFonts w:hint="eastAsia" w:ascii="仿宋_GB2312" w:hAnsi="仿宋_GB2312" w:eastAsia="仿宋_GB2312" w:cs="仿宋_GB2312"/>
          <w:color w:val="auto"/>
          <w:sz w:val="28"/>
          <w:szCs w:val="28"/>
          <w:lang w:val="en-US" w:eastAsia="zh-CN"/>
        </w:rPr>
        <w:t>业面向</w:t>
      </w:r>
      <w:bookmarkEnd w:id="24"/>
      <w:bookmarkEnd w:id="25"/>
      <w:bookmarkEnd w:id="26"/>
      <w:bookmarkEnd w:id="27"/>
    </w:p>
    <w:tbl>
      <w:tblPr>
        <w:tblStyle w:val="17"/>
        <w:tblW w:w="9920" w:type="dxa"/>
        <w:jc w:val="center"/>
        <w:tblLayout w:type="fixed"/>
        <w:tblCellMar>
          <w:top w:w="0" w:type="dxa"/>
          <w:left w:w="10" w:type="dxa"/>
          <w:bottom w:w="0" w:type="dxa"/>
          <w:right w:w="10" w:type="dxa"/>
        </w:tblCellMar>
      </w:tblPr>
      <w:tblGrid>
        <w:gridCol w:w="1417"/>
        <w:gridCol w:w="1417"/>
        <w:gridCol w:w="1417"/>
        <w:gridCol w:w="1417"/>
        <w:gridCol w:w="1701"/>
        <w:gridCol w:w="2551"/>
      </w:tblGrid>
      <w:tr>
        <w:tblPrEx>
          <w:tblCellMar>
            <w:top w:w="0" w:type="dxa"/>
            <w:left w:w="10" w:type="dxa"/>
            <w:bottom w:w="0" w:type="dxa"/>
            <w:right w:w="10" w:type="dxa"/>
          </w:tblCellMar>
        </w:tblPrEx>
        <w:trPr>
          <w:trHeight w:val="985" w:hRule="exact"/>
          <w:jc w:val="center"/>
        </w:trPr>
        <w:tc>
          <w:tcPr>
            <w:tcW w:w="1417" w:type="dxa"/>
            <w:tcBorders>
              <w:top w:val="single" w:color="auto" w:sz="4" w:space="0"/>
              <w:left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所属专业大类及代码</w:t>
            </w:r>
          </w:p>
        </w:tc>
        <w:tc>
          <w:tcPr>
            <w:tcW w:w="1417" w:type="dxa"/>
            <w:tcBorders>
              <w:top w:val="single" w:color="auto" w:sz="4" w:space="0"/>
              <w:left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所属专业类及代码</w:t>
            </w:r>
          </w:p>
        </w:tc>
        <w:tc>
          <w:tcPr>
            <w:tcW w:w="1417" w:type="dxa"/>
            <w:tcBorders>
              <w:top w:val="single" w:color="auto" w:sz="4" w:space="0"/>
              <w:left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对应行业及代码</w:t>
            </w:r>
          </w:p>
        </w:tc>
        <w:tc>
          <w:tcPr>
            <w:tcW w:w="1417" w:type="dxa"/>
            <w:tcBorders>
              <w:top w:val="single" w:color="auto" w:sz="4" w:space="0"/>
              <w:left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主要职业类别及代码</w:t>
            </w:r>
          </w:p>
        </w:tc>
        <w:tc>
          <w:tcPr>
            <w:tcW w:w="1701" w:type="dxa"/>
            <w:tcBorders>
              <w:top w:val="single" w:color="auto" w:sz="4" w:space="0"/>
              <w:left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主要岗位类别（或技术领域）</w:t>
            </w:r>
          </w:p>
        </w:tc>
        <w:tc>
          <w:tcPr>
            <w:tcW w:w="2551" w:type="dxa"/>
            <w:tcBorders>
              <w:top w:val="single" w:color="auto" w:sz="4" w:space="0"/>
              <w:left w:val="single" w:color="auto" w:sz="4" w:space="0"/>
              <w:right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职业技能等级证书、行业企业标准和证书举例</w:t>
            </w:r>
          </w:p>
        </w:tc>
      </w:tr>
      <w:tr>
        <w:tblPrEx>
          <w:tblCellMar>
            <w:top w:w="0" w:type="dxa"/>
            <w:left w:w="10" w:type="dxa"/>
            <w:bottom w:w="0" w:type="dxa"/>
            <w:right w:w="10" w:type="dxa"/>
          </w:tblCellMar>
        </w:tblPrEx>
        <w:trPr>
          <w:trHeight w:val="1314" w:hRule="exact"/>
          <w:jc w:val="center"/>
        </w:trPr>
        <w:tc>
          <w:tcPr>
            <w:tcW w:w="1417" w:type="dxa"/>
            <w:tcBorders>
              <w:top w:val="single" w:color="auto" w:sz="4" w:space="0"/>
              <w:left w:val="single" w:color="auto" w:sz="4" w:space="0"/>
              <w:bottom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社会生产服务 和生活服务人 员</w:t>
            </w:r>
            <w:r>
              <w:rPr>
                <w:rFonts w:hint="eastAsia"/>
                <w:color w:val="auto"/>
                <w:sz w:val="21"/>
                <w:szCs w:val="21"/>
                <w:lang w:val="en-US" w:eastAsia="en-US"/>
              </w:rPr>
              <w:t>（GBM40000）</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 xml:space="preserve">修理及制作服务人员 </w:t>
            </w:r>
            <w:r>
              <w:rPr>
                <w:rFonts w:hint="eastAsia"/>
                <w:color w:val="auto"/>
                <w:sz w:val="21"/>
                <w:szCs w:val="21"/>
                <w:lang w:val="en-US" w:eastAsia="en-US"/>
              </w:rPr>
              <w:t>（GBM41200）</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汽车摩托车修理技术服务人员</w:t>
            </w:r>
            <w:r>
              <w:rPr>
                <w:rFonts w:hint="eastAsia"/>
                <w:color w:val="auto"/>
                <w:sz w:val="21"/>
                <w:szCs w:val="21"/>
                <w:lang w:val="en-US" w:eastAsia="en-US"/>
              </w:rPr>
              <w:t>（GBM41201）</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汽车维修工</w:t>
            </w:r>
            <w:r>
              <w:rPr>
                <w:rFonts w:hint="eastAsia"/>
                <w:color w:val="auto"/>
                <w:sz w:val="21"/>
                <w:szCs w:val="21"/>
                <w:lang w:val="en-US" w:eastAsia="en-US"/>
              </w:rPr>
              <w:t>（4-12-01-01）</w:t>
            </w:r>
          </w:p>
        </w:tc>
        <w:tc>
          <w:tcPr>
            <w:tcW w:w="1701" w:type="dxa"/>
            <w:tcBorders>
              <w:top w:val="single" w:color="auto" w:sz="4" w:space="0"/>
              <w:left w:val="single" w:color="auto" w:sz="4" w:space="0"/>
              <w:bottom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汽车机械维修工、汽车电气维修工、汽车检测工</w:t>
            </w:r>
          </w:p>
        </w:tc>
        <w:tc>
          <w:tcPr>
            <w:tcW w:w="255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color w:val="auto"/>
                <w:sz w:val="21"/>
                <w:szCs w:val="21"/>
                <w:lang w:val="en-US" w:eastAsia="zh-CN"/>
              </w:rPr>
            </w:pPr>
            <w:r>
              <w:rPr>
                <w:rFonts w:hint="eastAsia"/>
                <w:color w:val="auto"/>
                <w:sz w:val="21"/>
                <w:szCs w:val="21"/>
                <w:lang w:val="en-US" w:eastAsia="zh-CN"/>
              </w:rPr>
              <w:t>汽车运用与维修技能等级证书、汽车运用与维修（含智能新能源汽车）</w:t>
            </w:r>
            <w:r>
              <w:rPr>
                <w:rFonts w:hint="eastAsia"/>
                <w:color w:val="auto"/>
                <w:sz w:val="21"/>
                <w:szCs w:val="21"/>
              </w:rPr>
              <w:t>“1+X”能力认证证书</w:t>
            </w:r>
          </w:p>
        </w:tc>
      </w:tr>
    </w:tbl>
    <w:p>
      <w:pPr>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sz w:val="21"/>
          <w:szCs w:val="21"/>
          <w:lang w:val="en-US" w:eastAsia="zh-CN"/>
        </w:rPr>
      </w:pPr>
      <w:bookmarkStart w:id="28" w:name="_Toc15146"/>
      <w:bookmarkStart w:id="29" w:name="_Toc7634"/>
      <w:bookmarkStart w:id="30" w:name="_Toc18468"/>
      <w:r>
        <w:rPr>
          <w:rFonts w:hint="eastAsia"/>
          <w:color w:val="auto"/>
          <w:sz w:val="21"/>
          <w:szCs w:val="21"/>
        </w:rPr>
        <w:t>表</w:t>
      </w:r>
      <w:r>
        <w:rPr>
          <w:rFonts w:hint="eastAsia"/>
          <w:color w:val="auto"/>
          <w:sz w:val="21"/>
          <w:szCs w:val="21"/>
          <w:lang w:val="en-US" w:eastAsia="zh-CN"/>
        </w:rPr>
        <w:t>1</w:t>
      </w:r>
      <w:r>
        <w:rPr>
          <w:rFonts w:hint="eastAsia"/>
          <w:color w:val="auto"/>
          <w:sz w:val="21"/>
          <w:szCs w:val="21"/>
        </w:rPr>
        <w:t xml:space="preserve">  </w:t>
      </w:r>
      <w:r>
        <w:rPr>
          <w:rFonts w:hint="eastAsia"/>
          <w:color w:val="auto"/>
          <w:sz w:val="21"/>
          <w:szCs w:val="21"/>
          <w:lang w:val="en-US" w:eastAsia="zh-CN"/>
        </w:rPr>
        <w:t>职业面向一览表</w:t>
      </w:r>
    </w:p>
    <w:p>
      <w:pPr>
        <w:pStyle w:val="3"/>
        <w:keepNext/>
        <w:keepLines/>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jc w:val="both"/>
        <w:textAlignment w:val="auto"/>
        <w:outlineLvl w:val="1"/>
        <w:rPr>
          <w:rFonts w:hint="eastAsia" w:ascii="仿宋_GB2312" w:hAnsi="仿宋_GB2312" w:eastAsia="仿宋_GB2312" w:cs="仿宋_GB2312"/>
          <w:color w:val="auto"/>
          <w:sz w:val="28"/>
          <w:szCs w:val="28"/>
          <w:lang w:val="en-US" w:eastAsia="zh-CN"/>
        </w:rPr>
      </w:pPr>
      <w:bookmarkStart w:id="31" w:name="_Toc8197"/>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val="zh-CN" w:eastAsia="zh-CN"/>
        </w:rPr>
        <w:t>）接</w:t>
      </w:r>
      <w:r>
        <w:rPr>
          <w:rFonts w:hint="eastAsia" w:ascii="仿宋_GB2312" w:hAnsi="仿宋_GB2312" w:eastAsia="仿宋_GB2312" w:cs="仿宋_GB2312"/>
          <w:color w:val="auto"/>
          <w:sz w:val="28"/>
          <w:szCs w:val="28"/>
          <w:lang w:val="en-US" w:eastAsia="zh-CN"/>
        </w:rPr>
        <w:t>续专业</w:t>
      </w:r>
      <w:bookmarkEnd w:id="28"/>
      <w:bookmarkEnd w:id="29"/>
      <w:bookmarkEnd w:id="30"/>
      <w:bookmarkEnd w:id="31"/>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高职专科:汽车运用技术、汽车检测与维修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本科:汽车服务工程</w:t>
      </w:r>
    </w:p>
    <w:p>
      <w:pPr>
        <w:pStyle w:val="2"/>
        <w:pageBreakBefore w:val="0"/>
        <w:widowControl w:val="0"/>
        <w:kinsoku/>
        <w:wordWrap/>
        <w:overflowPunct/>
        <w:topLinePunct w:val="0"/>
        <w:autoSpaceDE/>
        <w:autoSpaceDN/>
        <w:bidi w:val="0"/>
        <w:adjustRightInd/>
        <w:snapToGrid/>
        <w:spacing w:before="0" w:beforeLines="0" w:after="0" w:afterLines="0" w:line="560" w:lineRule="exact"/>
        <w:ind w:right="0" w:rightChars="0" w:firstLine="643" w:firstLineChars="200"/>
        <w:textAlignment w:val="auto"/>
        <w:rPr>
          <w:rFonts w:hint="eastAsia" w:ascii="仿宋_GB2312" w:hAnsi="仿宋_GB2312" w:eastAsia="仿宋_GB2312" w:cs="仿宋_GB2312"/>
          <w:color w:val="auto"/>
          <w:sz w:val="32"/>
          <w:szCs w:val="32"/>
        </w:rPr>
      </w:pPr>
      <w:bookmarkStart w:id="32" w:name="_Toc20758"/>
      <w:bookmarkStart w:id="33" w:name="_Toc16685"/>
      <w:bookmarkStart w:id="34" w:name="_Toc11425"/>
      <w:bookmarkStart w:id="35" w:name="_Toc28515"/>
      <w:r>
        <w:rPr>
          <w:rFonts w:hint="eastAsia" w:ascii="仿宋_GB2312" w:hAnsi="仿宋_GB2312" w:eastAsia="仿宋_GB2312" w:cs="仿宋_GB2312"/>
          <w:color w:val="auto"/>
          <w:sz w:val="32"/>
          <w:szCs w:val="32"/>
        </w:rPr>
        <w:t>五、培养目标与培养规格</w:t>
      </w:r>
      <w:bookmarkEnd w:id="32"/>
      <w:bookmarkEnd w:id="33"/>
      <w:bookmarkEnd w:id="34"/>
      <w:bookmarkEnd w:id="35"/>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textAlignment w:val="auto"/>
        <w:rPr>
          <w:rFonts w:hint="eastAsia" w:ascii="仿宋_GB2312" w:hAnsi="仿宋_GB2312" w:eastAsia="仿宋_GB2312" w:cs="仿宋_GB2312"/>
          <w:color w:val="auto"/>
          <w:sz w:val="28"/>
          <w:szCs w:val="28"/>
          <w:lang w:val="en-US" w:eastAsia="zh-CN"/>
        </w:rPr>
      </w:pPr>
      <w:bookmarkStart w:id="36" w:name="_Toc22839"/>
      <w:bookmarkStart w:id="37" w:name="_Toc25684"/>
      <w:bookmarkStart w:id="38" w:name="_Toc17650"/>
      <w:bookmarkStart w:id="39" w:name="_Toc29424"/>
      <w:r>
        <w:rPr>
          <w:rFonts w:hint="eastAsia" w:ascii="仿宋_GB2312" w:hAnsi="仿宋_GB2312" w:eastAsia="仿宋_GB2312" w:cs="仿宋_GB2312"/>
          <w:color w:val="auto"/>
          <w:sz w:val="28"/>
          <w:szCs w:val="28"/>
          <w:lang w:val="en-US" w:eastAsia="zh-CN"/>
        </w:rPr>
        <w:t>（一）培养目标</w:t>
      </w:r>
      <w:bookmarkEnd w:id="36"/>
      <w:bookmarkEnd w:id="37"/>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color w:val="auto"/>
          <w:sz w:val="28"/>
          <w:szCs w:val="28"/>
        </w:rPr>
      </w:pPr>
      <w:r>
        <w:rPr>
          <w:rFonts w:hint="eastAsia"/>
          <w:color w:val="auto"/>
          <w:sz w:val="28"/>
          <w:szCs w:val="28"/>
        </w:rPr>
        <w:t>本专业坚持课程思政的理念，落实立德树人的根本任务，面向汽车运用与维修等行业企业，培养从事汽车使用、维护、修理、检测、维修接待等工作，具备良好的职业道德与职业素养素质，掌握汽车运用与维修专业必备的专业基础理论知识，具备汽车使用、维护、修理</w:t>
      </w:r>
      <w:r>
        <w:rPr>
          <w:rFonts w:hint="eastAsia"/>
          <w:color w:val="auto"/>
          <w:sz w:val="28"/>
          <w:szCs w:val="28"/>
          <w:lang w:eastAsia="zh-CN"/>
        </w:rPr>
        <w:t>、</w:t>
      </w:r>
      <w:r>
        <w:rPr>
          <w:rFonts w:hint="eastAsia"/>
          <w:color w:val="auto"/>
          <w:sz w:val="28"/>
          <w:szCs w:val="28"/>
        </w:rPr>
        <w:t>检测、维修接待能力，德智体美劳全面发展的高素质劳动者和技术技能型人才。</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textAlignment w:val="auto"/>
        <w:rPr>
          <w:rFonts w:hint="eastAsia" w:ascii="仿宋_GB2312" w:hAnsi="仿宋_GB2312" w:eastAsia="仿宋_GB2312" w:cs="仿宋_GB2312"/>
          <w:color w:val="auto"/>
          <w:sz w:val="28"/>
          <w:szCs w:val="28"/>
          <w:lang w:val="en-US" w:eastAsia="zh-CN"/>
        </w:rPr>
      </w:pPr>
      <w:bookmarkStart w:id="40" w:name="_Toc29376"/>
      <w:bookmarkStart w:id="41" w:name="_Toc23143"/>
      <w:bookmarkStart w:id="42" w:name="_Toc18256"/>
      <w:bookmarkStart w:id="43" w:name="_Toc25442"/>
      <w:r>
        <w:rPr>
          <w:rFonts w:hint="eastAsia" w:ascii="仿宋_GB2312" w:hAnsi="仿宋_GB2312" w:eastAsia="仿宋_GB2312" w:cs="仿宋_GB2312"/>
          <w:color w:val="auto"/>
          <w:sz w:val="28"/>
          <w:szCs w:val="28"/>
          <w:lang w:val="en-US" w:eastAsia="zh-CN"/>
        </w:rPr>
        <w:t>（二）培养规格</w:t>
      </w:r>
      <w:bookmarkEnd w:id="40"/>
      <w:bookmarkEnd w:id="41"/>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本专业毕业生应该具有以下素质、知识和能力：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_GB2312" w:hAnsi="仿宋_GB2312" w:eastAsia="仿宋_GB2312" w:cs="仿宋_GB2312"/>
          <w:color w:val="auto"/>
          <w:sz w:val="28"/>
          <w:szCs w:val="28"/>
        </w:rPr>
      </w:pPr>
      <w:bookmarkStart w:id="44" w:name="_Toc1032"/>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素质</w:t>
      </w:r>
      <w:bookmarkEnd w:id="44"/>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具有坚定的政治方向、良好的思想品德素质和健全的人格,热爱祖国、热爱人民、拥护中国共产党的领导,具有国家意识、法</w:t>
      </w:r>
      <w:r>
        <w:rPr>
          <w:rFonts w:hint="eastAsia" w:ascii="仿宋_GB2312" w:hAnsi="仿宋_GB2312" w:cs="仿宋_GB2312"/>
          <w:color w:val="auto"/>
          <w:sz w:val="28"/>
          <w:szCs w:val="28"/>
          <w:lang w:val="en-US" w:eastAsia="zh-CN"/>
        </w:rPr>
        <w:t>治</w:t>
      </w:r>
      <w:bookmarkStart w:id="125" w:name="_GoBack"/>
      <w:bookmarkEnd w:id="125"/>
      <w:r>
        <w:rPr>
          <w:rFonts w:hint="eastAsia" w:ascii="仿宋_GB2312" w:hAnsi="仿宋_GB2312" w:eastAsia="仿宋_GB2312" w:cs="仿宋_GB2312"/>
          <w:color w:val="auto"/>
          <w:sz w:val="28"/>
          <w:szCs w:val="28"/>
        </w:rPr>
        <w:t>意识和社会责任意识，树立正确的世界观、人生观、价值观。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具有良好的人际交往与团队协作能力。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具有能吃苦耐劳，责任感强，执行力强的工作品质。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具有较强地获取信息、分析判断和学习新知识的能力。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具有良好的职业道德,能自觉遵守行业法规、规范和企业规章制度。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具有较强的安全文明生产与节能环保意识，积极的职业竞争和服务意识。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_GB2312" w:hAnsi="仿宋_GB2312" w:eastAsia="仿宋_GB2312" w:cs="仿宋_GB2312"/>
          <w:color w:val="auto"/>
          <w:sz w:val="28"/>
          <w:szCs w:val="28"/>
        </w:rPr>
      </w:pPr>
      <w:bookmarkStart w:id="45" w:name="_Toc9291"/>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知识</w:t>
      </w:r>
      <w:bookmarkEnd w:id="45"/>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掌握汽车发动机、底盘、车身电气、空调的结构和工作原理。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掌握汽车机械基础、汽车电工电子等基础知识。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能阅读简单的汽车维修设备使用说明书和汽车维修技术资料。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能识读汽车电路图，并能进行简单的电器零部件检测作业。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能正确使用汽车维修常用工具、量具及检测仪器设备。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能完成汽车维护作业。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能完成汽车发动机、手动变速器总成大修及部件检修，汽车制动系统、悬架转向系统总成及部件检修。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能完成汽车车身电器系统</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空调系统总成及部件检修。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9</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能完成汽车发动机电控系统检修。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10</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能向客户合理表达用车建议，具有沟能协调合作能力。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_GB2312" w:hAnsi="仿宋_GB2312" w:eastAsia="仿宋_GB2312" w:cs="仿宋_GB2312"/>
          <w:color w:val="auto"/>
          <w:sz w:val="28"/>
          <w:szCs w:val="28"/>
        </w:rPr>
      </w:pPr>
      <w:bookmarkStart w:id="46" w:name="_Toc27134"/>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能力</w:t>
      </w:r>
      <w:bookmarkEnd w:id="46"/>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方向1——汽车机电维修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能运用汽车发动机，底盘，电气和维修手册的相关知识，实施汽车定期维护，总成小修或更换。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能运用汽车电路图知识,进行实车线路查找。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能运用变速器和维修手册知识,完成变速器的保养与维修。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能运用汽车故障诊断方法，排除汽车故障。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能运用汽车机电设备加装知识，解决客户对车辆地加装需求。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能具备从事</w:t>
      </w:r>
      <w:r>
        <w:rPr>
          <w:rFonts w:hint="eastAsia" w:ascii="仿宋_GB2312" w:hAnsi="仿宋_GB2312" w:cs="仿宋_GB2312"/>
          <w:color w:val="auto"/>
          <w:sz w:val="28"/>
          <w:szCs w:val="28"/>
          <w:highlight w:val="none"/>
          <w:lang w:val="en-US" w:eastAsia="zh-CN"/>
        </w:rPr>
        <w:t>汽车</w:t>
      </w:r>
      <w:r>
        <w:rPr>
          <w:rFonts w:hint="eastAsia" w:ascii="仿宋_GB2312" w:hAnsi="仿宋_GB2312" w:eastAsia="仿宋_GB2312" w:cs="仿宋_GB2312"/>
          <w:color w:val="auto"/>
          <w:sz w:val="28"/>
          <w:szCs w:val="28"/>
          <w:highlight w:val="none"/>
        </w:rPr>
        <w:t>维修业务接待的能力。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方向2——</w:t>
      </w:r>
      <w:r>
        <w:rPr>
          <w:rFonts w:hint="eastAsia" w:ascii="仿宋_GB2312" w:hAnsi="仿宋_GB2312" w:eastAsia="仿宋_GB2312" w:cs="仿宋_GB2312"/>
          <w:color w:val="auto"/>
          <w:sz w:val="28"/>
          <w:szCs w:val="28"/>
          <w:lang w:val="en-US" w:eastAsia="zh-CN"/>
        </w:rPr>
        <w:t>商用车维修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1</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掌握商用车各部分的组成及工作原理。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2</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掌握商用车发动机、底盘、车身、电气系统的故障诊断和排除方法。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能运用商用车常用故障诊断仪器、工具、设备的选择、维护与操作</w:t>
      </w:r>
      <w:r>
        <w:rPr>
          <w:rFonts w:hint="eastAsia" w:ascii="仿宋_GB2312" w:hAnsi="仿宋_GB2312" w:eastAsia="仿宋_GB2312" w:cs="仿宋_GB2312"/>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能运用工具设备对商用车各大机械总成进行拆装、测量和保养</w:t>
      </w:r>
      <w:r>
        <w:rPr>
          <w:rFonts w:hint="eastAsia" w:ascii="仿宋_GB2312" w:hAnsi="仿宋_GB2312" w:cs="仿宋_GB2312"/>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highlight w:val="none"/>
        </w:rPr>
      </w:pP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5</w:t>
      </w:r>
      <w:r>
        <w:rPr>
          <w:rFonts w:hint="eastAsia" w:ascii="仿宋_GB2312" w:hAnsi="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能具备从事</w:t>
      </w:r>
      <w:r>
        <w:rPr>
          <w:rFonts w:hint="eastAsia" w:ascii="仿宋_GB2312" w:hAnsi="仿宋_GB2312" w:cs="仿宋_GB2312"/>
          <w:color w:val="auto"/>
          <w:sz w:val="28"/>
          <w:szCs w:val="28"/>
          <w:highlight w:val="none"/>
          <w:lang w:val="en-US" w:eastAsia="zh-CN"/>
        </w:rPr>
        <w:t>商用车</w:t>
      </w:r>
      <w:r>
        <w:rPr>
          <w:rFonts w:hint="eastAsia" w:ascii="仿宋_GB2312" w:hAnsi="仿宋_GB2312" w:eastAsia="仿宋_GB2312" w:cs="仿宋_GB2312"/>
          <w:color w:val="auto"/>
          <w:sz w:val="28"/>
          <w:szCs w:val="28"/>
          <w:highlight w:val="none"/>
        </w:rPr>
        <w:t>维修业务接待的能力。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方向</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高考升学方向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b w:val="0"/>
          <w:i w:val="0"/>
          <w:caps w:val="0"/>
          <w:color w:val="auto"/>
          <w:spacing w:val="0"/>
          <w:sz w:val="28"/>
          <w:szCs w:val="28"/>
          <w:shd w:val="clear" w:fill="FFFFFF"/>
          <w:lang w:eastAsia="zh-CN"/>
        </w:rPr>
      </w:pPr>
      <w:r>
        <w:rPr>
          <w:rFonts w:hint="eastAsia" w:ascii="仿宋_GB2312" w:hAnsi="仿宋_GB2312" w:eastAsia="仿宋_GB2312" w:cs="仿宋_GB2312"/>
          <w:b w:val="0"/>
          <w:i w:val="0"/>
          <w:caps w:val="0"/>
          <w:color w:val="auto"/>
          <w:spacing w:val="0"/>
          <w:sz w:val="28"/>
          <w:szCs w:val="28"/>
          <w:shd w:val="clear" w:fill="FFFFFF"/>
          <w:lang w:eastAsia="zh-CN"/>
        </w:rPr>
        <w:t>（</w:t>
      </w:r>
      <w:r>
        <w:rPr>
          <w:rFonts w:hint="eastAsia" w:ascii="仿宋_GB2312" w:hAnsi="仿宋_GB2312" w:eastAsia="仿宋_GB2312" w:cs="仿宋_GB2312"/>
          <w:b w:val="0"/>
          <w:i w:val="0"/>
          <w:caps w:val="0"/>
          <w:color w:val="auto"/>
          <w:spacing w:val="0"/>
          <w:sz w:val="28"/>
          <w:szCs w:val="28"/>
          <w:shd w:val="clear" w:fill="FFFFFF"/>
          <w:lang w:val="en-US" w:eastAsia="zh-CN"/>
        </w:rPr>
        <w:t>1</w:t>
      </w:r>
      <w:r>
        <w:rPr>
          <w:rFonts w:hint="eastAsia" w:ascii="仿宋_GB2312" w:hAnsi="仿宋_GB2312" w:eastAsia="仿宋_GB2312" w:cs="仿宋_GB2312"/>
          <w:b w:val="0"/>
          <w:i w:val="0"/>
          <w:caps w:val="0"/>
          <w:color w:val="auto"/>
          <w:spacing w:val="0"/>
          <w:sz w:val="28"/>
          <w:szCs w:val="28"/>
          <w:shd w:val="clear" w:fill="FFFFFF"/>
          <w:lang w:eastAsia="zh-CN"/>
        </w:rPr>
        <w:t>）</w:t>
      </w:r>
      <w:r>
        <w:rPr>
          <w:rFonts w:hint="eastAsia" w:ascii="仿宋_GB2312" w:hAnsi="仿宋_GB2312" w:cs="仿宋_GB2312"/>
          <w:b w:val="0"/>
          <w:i w:val="0"/>
          <w:caps w:val="0"/>
          <w:color w:val="auto"/>
          <w:spacing w:val="0"/>
          <w:sz w:val="28"/>
          <w:szCs w:val="28"/>
          <w:shd w:val="clear" w:fill="FFFFFF"/>
          <w:lang w:val="en-US" w:eastAsia="zh-CN"/>
        </w:rPr>
        <w:t>掌握</w:t>
      </w:r>
      <w:r>
        <w:rPr>
          <w:rFonts w:hint="eastAsia" w:ascii="仿宋_GB2312" w:hAnsi="仿宋_GB2312" w:eastAsia="仿宋_GB2312" w:cs="仿宋_GB2312"/>
          <w:b w:val="0"/>
          <w:i w:val="0"/>
          <w:caps w:val="0"/>
          <w:color w:val="auto"/>
          <w:spacing w:val="0"/>
          <w:sz w:val="28"/>
          <w:szCs w:val="28"/>
          <w:shd w:val="clear" w:fill="FFFFFF"/>
        </w:rPr>
        <w:t>《重庆市高等职业教育分类考试汽车类专业</w:t>
      </w:r>
      <w:r>
        <w:rPr>
          <w:rFonts w:hint="eastAsia" w:ascii="仿宋_GB2312" w:hAnsi="仿宋_GB2312" w:cs="仿宋_GB2312"/>
          <w:b w:val="0"/>
          <w:i w:val="0"/>
          <w:caps w:val="0"/>
          <w:color w:val="auto"/>
          <w:spacing w:val="0"/>
          <w:sz w:val="28"/>
          <w:szCs w:val="28"/>
          <w:shd w:val="clear" w:fill="FFFFFF"/>
          <w:lang w:val="en-US" w:eastAsia="zh-CN"/>
        </w:rPr>
        <w:t>考试大纲</w:t>
      </w:r>
      <w:r>
        <w:rPr>
          <w:rFonts w:hint="eastAsia" w:ascii="仿宋_GB2312" w:hAnsi="仿宋_GB2312" w:eastAsia="仿宋_GB2312" w:cs="仿宋_GB2312"/>
          <w:b w:val="0"/>
          <w:i w:val="0"/>
          <w:caps w:val="0"/>
          <w:color w:val="auto"/>
          <w:spacing w:val="0"/>
          <w:sz w:val="28"/>
          <w:szCs w:val="28"/>
          <w:shd w:val="clear" w:fill="FFFFFF"/>
        </w:rPr>
        <w:t>》要求</w:t>
      </w:r>
      <w:r>
        <w:rPr>
          <w:rFonts w:hint="eastAsia" w:ascii="仿宋_GB2312" w:hAnsi="仿宋_GB2312" w:cs="仿宋_GB2312"/>
          <w:b w:val="0"/>
          <w:i w:val="0"/>
          <w:caps w:val="0"/>
          <w:color w:val="auto"/>
          <w:spacing w:val="0"/>
          <w:sz w:val="28"/>
          <w:szCs w:val="28"/>
          <w:shd w:val="clear" w:fill="FFFFFF"/>
          <w:lang w:val="en-US" w:eastAsia="zh-CN"/>
        </w:rPr>
        <w:t>的各项专业综合理论知识</w:t>
      </w:r>
      <w:r>
        <w:rPr>
          <w:rFonts w:hint="eastAsia" w:ascii="仿宋_GB2312" w:hAnsi="仿宋_GB2312" w:eastAsia="仿宋_GB2312" w:cs="仿宋_GB2312"/>
          <w:b w:val="0"/>
          <w:i w:val="0"/>
          <w:caps w:val="0"/>
          <w:color w:val="auto"/>
          <w:spacing w:val="0"/>
          <w:sz w:val="28"/>
          <w:szCs w:val="28"/>
          <w:shd w:val="clear" w:fill="FFFFFF"/>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b w:val="0"/>
          <w:i w:val="0"/>
          <w:caps w:val="0"/>
          <w:color w:val="auto"/>
          <w:spacing w:val="0"/>
          <w:sz w:val="28"/>
          <w:szCs w:val="28"/>
          <w:shd w:val="clear" w:fill="FFFFFF"/>
        </w:rPr>
      </w:pPr>
      <w:r>
        <w:rPr>
          <w:rFonts w:hint="eastAsia" w:ascii="仿宋_GB2312" w:hAnsi="仿宋_GB2312" w:eastAsia="仿宋_GB2312" w:cs="仿宋_GB2312"/>
          <w:b w:val="0"/>
          <w:i w:val="0"/>
          <w:caps w:val="0"/>
          <w:color w:val="auto"/>
          <w:spacing w:val="0"/>
          <w:sz w:val="28"/>
          <w:szCs w:val="28"/>
          <w:shd w:val="clear" w:fill="FFFFFF"/>
          <w:lang w:eastAsia="zh-CN"/>
        </w:rPr>
        <w:t>（</w:t>
      </w:r>
      <w:r>
        <w:rPr>
          <w:rFonts w:hint="eastAsia" w:ascii="仿宋_GB2312" w:hAnsi="仿宋_GB2312" w:cs="仿宋_GB2312"/>
          <w:b w:val="0"/>
          <w:i w:val="0"/>
          <w:caps w:val="0"/>
          <w:color w:val="auto"/>
          <w:spacing w:val="0"/>
          <w:sz w:val="28"/>
          <w:szCs w:val="28"/>
          <w:shd w:val="clear" w:fill="FFFFFF"/>
          <w:lang w:val="en-US" w:eastAsia="zh-CN"/>
        </w:rPr>
        <w:t>2</w:t>
      </w:r>
      <w:r>
        <w:rPr>
          <w:rFonts w:hint="eastAsia" w:ascii="仿宋_GB2312" w:hAnsi="仿宋_GB2312" w:eastAsia="仿宋_GB2312" w:cs="仿宋_GB2312"/>
          <w:b w:val="0"/>
          <w:i w:val="0"/>
          <w:caps w:val="0"/>
          <w:color w:val="auto"/>
          <w:spacing w:val="0"/>
          <w:sz w:val="28"/>
          <w:szCs w:val="28"/>
          <w:shd w:val="clear" w:fill="FFFFFF"/>
          <w:lang w:eastAsia="zh-CN"/>
        </w:rPr>
        <w:t>）</w:t>
      </w:r>
      <w:r>
        <w:rPr>
          <w:rFonts w:hint="eastAsia" w:ascii="仿宋_GB2312" w:hAnsi="仿宋_GB2312" w:eastAsia="仿宋_GB2312" w:cs="仿宋_GB2312"/>
          <w:b w:val="0"/>
          <w:i w:val="0"/>
          <w:caps w:val="0"/>
          <w:color w:val="auto"/>
          <w:spacing w:val="0"/>
          <w:sz w:val="28"/>
          <w:szCs w:val="28"/>
          <w:shd w:val="clear" w:fill="FFFFFF"/>
        </w:rPr>
        <w:t>具备按照《重庆市高等职业教育分类考试汽车类专业技能测试考试说明》的要求进行技能操作的能力。</w:t>
      </w:r>
      <w:bookmarkStart w:id="47" w:name="bookmark51"/>
      <w:bookmarkStart w:id="48" w:name="bookmark49"/>
      <w:bookmarkStart w:id="49" w:name="_Toc16280"/>
      <w:bookmarkStart w:id="50" w:name="bookmark50"/>
      <w:bookmarkStart w:id="51" w:name="_Toc27128"/>
      <w:bookmarkStart w:id="52" w:name="_Toc27554"/>
      <w:bookmarkStart w:id="53" w:name="_Toc12514"/>
      <w:bookmarkStart w:id="54" w:name="bookmark52"/>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六</w:t>
      </w:r>
      <w:bookmarkEnd w:id="47"/>
      <w:r>
        <w:rPr>
          <w:rFonts w:hint="eastAsia" w:ascii="仿宋_GB2312" w:hAnsi="仿宋_GB2312" w:eastAsia="仿宋_GB2312" w:cs="仿宋_GB2312"/>
          <w:b/>
          <w:bCs/>
          <w:color w:val="auto"/>
          <w:sz w:val="32"/>
          <w:szCs w:val="32"/>
        </w:rPr>
        <w:t>、课程设置及要求</w:t>
      </w:r>
      <w:bookmarkEnd w:id="48"/>
      <w:bookmarkEnd w:id="49"/>
      <w:bookmarkEnd w:id="50"/>
      <w:bookmarkEnd w:id="51"/>
      <w:bookmarkEnd w:id="52"/>
      <w:bookmarkEnd w:id="53"/>
      <w:bookmarkEnd w:id="54"/>
      <w:bookmarkStart w:id="55" w:name="_Toc1477"/>
      <w:bookmarkStart w:id="56" w:name="_Toc23536"/>
      <w:bookmarkStart w:id="57" w:name="_Toc8617"/>
      <w:bookmarkStart w:id="58" w:name="_Toc13498"/>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eastAsia="zh-CN"/>
        </w:rPr>
        <w:t>（</w:t>
      </w:r>
      <w:r>
        <w:rPr>
          <w:rFonts w:hint="eastAsia" w:ascii="仿宋_GB2312" w:hAnsi="仿宋_GB2312" w:eastAsia="仿宋_GB2312" w:cs="仿宋_GB2312"/>
          <w:b/>
          <w:bCs/>
          <w:color w:val="auto"/>
          <w:sz w:val="28"/>
          <w:szCs w:val="28"/>
          <w:lang w:val="en-US" w:eastAsia="zh-CN"/>
        </w:rPr>
        <w:t>一</w:t>
      </w:r>
      <w:r>
        <w:rPr>
          <w:rFonts w:hint="eastAsia" w:ascii="仿宋_GB2312" w:hAnsi="仿宋_GB2312" w:eastAsia="仿宋_GB2312" w:cs="仿宋_GB2312"/>
          <w:b/>
          <w:bCs/>
          <w:color w:val="auto"/>
          <w:sz w:val="28"/>
          <w:szCs w:val="28"/>
          <w:lang w:eastAsia="zh-CN"/>
        </w:rPr>
        <w:t>）</w:t>
      </w:r>
      <w:r>
        <w:rPr>
          <w:rFonts w:hint="eastAsia" w:ascii="仿宋_GB2312" w:hAnsi="仿宋_GB2312" w:eastAsia="仿宋_GB2312" w:cs="仿宋_GB2312"/>
          <w:b/>
          <w:bCs/>
          <w:color w:val="auto"/>
          <w:sz w:val="28"/>
          <w:szCs w:val="28"/>
          <w:lang w:val="zh-CN" w:eastAsia="zh-CN"/>
        </w:rPr>
        <w:t>课</w:t>
      </w:r>
      <w:r>
        <w:rPr>
          <w:rFonts w:hint="eastAsia" w:ascii="仿宋_GB2312" w:hAnsi="仿宋_GB2312" w:eastAsia="仿宋_GB2312" w:cs="仿宋_GB2312"/>
          <w:b/>
          <w:bCs/>
          <w:color w:val="auto"/>
          <w:sz w:val="28"/>
          <w:szCs w:val="28"/>
        </w:rPr>
        <w:t>程结</w:t>
      </w:r>
      <w:r>
        <w:rPr>
          <w:rFonts w:hint="eastAsia" w:ascii="仿宋_GB2312" w:hAnsi="仿宋_GB2312" w:eastAsia="仿宋_GB2312" w:cs="仿宋_GB2312"/>
          <w:b/>
          <w:bCs/>
          <w:color w:val="auto"/>
          <w:sz w:val="28"/>
          <w:szCs w:val="28"/>
          <w:lang w:val="en-US" w:eastAsia="zh-CN"/>
        </w:rPr>
        <w:t>构</w:t>
      </w:r>
      <w:bookmarkEnd w:id="55"/>
      <w:bookmarkEnd w:id="56"/>
      <w:bookmarkEnd w:id="57"/>
      <w:bookmarkEnd w:id="58"/>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8"/>
          <w:szCs w:val="28"/>
        </w:rPr>
        <w:object>
          <v:shape id="_x0000_i1025" o:spt="75" type="#_x0000_t75" style="height:603.65pt;width:483pt;" o:ole="t" filled="f" o:preferrelative="t" stroked="f" coordsize="21600,21600">
            <v:path/>
            <v:fill on="f" focussize="0,0"/>
            <v:stroke on="f"/>
            <v:imagedata r:id="rId10" o:title=""/>
            <o:lock v:ext="edit" aspectratio="t"/>
            <w10:wrap type="none"/>
            <w10:anchorlock/>
          </v:shape>
          <o:OLEObject Type="Embed" ProgID="Excel.Sheet.8" ShapeID="_x0000_i1025" DrawAspect="Content" ObjectID="_1468075725" r:id="rId9">
            <o:LockedField>false</o:LockedField>
          </o:OLEObject>
        </w:object>
      </w:r>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2</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课程结构框架</w:t>
      </w:r>
      <w:r>
        <w:rPr>
          <w:rFonts w:hint="eastAsia" w:ascii="仿宋_GB2312" w:hAnsi="仿宋_GB2312" w:cs="仿宋_GB2312"/>
          <w:color w:val="auto"/>
          <w:sz w:val="21"/>
          <w:szCs w:val="21"/>
          <w:lang w:val="en-US" w:eastAsia="zh-CN"/>
        </w:rPr>
        <w:t>图</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textAlignment w:val="auto"/>
        <w:rPr>
          <w:rFonts w:hint="eastAsia" w:ascii="仿宋_GB2312" w:hAnsi="仿宋_GB2312" w:eastAsia="仿宋_GB2312" w:cs="仿宋_GB2312"/>
          <w:color w:val="auto"/>
          <w:sz w:val="28"/>
          <w:szCs w:val="28"/>
        </w:rPr>
      </w:pPr>
      <w:bookmarkStart w:id="59" w:name="_Toc1228"/>
      <w:bookmarkStart w:id="60" w:name="_Toc514"/>
      <w:bookmarkStart w:id="61" w:name="_Toc18857"/>
      <w:bookmarkStart w:id="62" w:name="_Toc8966"/>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课程设置及要求</w:t>
      </w:r>
      <w:bookmarkEnd w:id="59"/>
      <w:bookmarkEnd w:id="60"/>
      <w:bookmarkEnd w:id="61"/>
      <w:bookmarkEnd w:id="62"/>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本专业的课程设置分为公共基础课程和专业技能课程。公共基础课包括必修课和选修课。专业技能课包括专业核心课、专业技能方向课、专业选修课和专业实习。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_GB2312" w:hAnsi="仿宋_GB2312" w:eastAsia="仿宋_GB2312" w:cs="仿宋_GB2312"/>
          <w:color w:val="auto"/>
          <w:sz w:val="28"/>
          <w:szCs w:val="28"/>
        </w:rPr>
      </w:pPr>
      <w:bookmarkStart w:id="63" w:name="_Toc24241"/>
      <w:r>
        <w:rPr>
          <w:rFonts w:hint="eastAsia" w:ascii="仿宋_GB2312" w:hAnsi="仿宋_GB2312" w:eastAsia="仿宋_GB2312" w:cs="仿宋_GB2312"/>
          <w:color w:val="auto"/>
          <w:sz w:val="28"/>
          <w:szCs w:val="28"/>
        </w:rPr>
        <w:t>1.公共基础课程</w:t>
      </w:r>
      <w:bookmarkEnd w:id="63"/>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（1）必修课</w:t>
      </w:r>
    </w:p>
    <w:tbl>
      <w:tblPr>
        <w:tblStyle w:val="17"/>
        <w:tblW w:w="9606" w:type="dxa"/>
        <w:jc w:val="center"/>
        <w:tblLayout w:type="fixed"/>
        <w:tblCellMar>
          <w:top w:w="0" w:type="dxa"/>
          <w:left w:w="108" w:type="dxa"/>
          <w:bottom w:w="0" w:type="dxa"/>
          <w:right w:w="108" w:type="dxa"/>
        </w:tblCellMar>
      </w:tblPr>
      <w:tblGrid>
        <w:gridCol w:w="748"/>
        <w:gridCol w:w="1275"/>
        <w:gridCol w:w="6492"/>
        <w:gridCol w:w="1091"/>
      </w:tblGrid>
      <w:tr>
        <w:tblPrEx>
          <w:tblCellMar>
            <w:top w:w="0" w:type="dxa"/>
            <w:left w:w="108" w:type="dxa"/>
            <w:bottom w:w="0" w:type="dxa"/>
            <w:right w:w="108" w:type="dxa"/>
          </w:tblCellMar>
        </w:tblPrEx>
        <w:trPr>
          <w:trHeight w:val="458" w:hRule="atLeast"/>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序号</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课程名称</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教学内容和要求</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参考课时</w:t>
            </w:r>
          </w:p>
        </w:tc>
      </w:tr>
      <w:tr>
        <w:tblPrEx>
          <w:tblCellMar>
            <w:top w:w="0" w:type="dxa"/>
            <w:left w:w="108" w:type="dxa"/>
            <w:bottom w:w="0" w:type="dxa"/>
            <w:right w:w="108" w:type="dxa"/>
          </w:tblCellMar>
        </w:tblPrEx>
        <w:trPr>
          <w:trHeight w:val="90" w:hRule="atLeast"/>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思想政治</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依据《中等职业学校思想政治课程标准-（2020年版）》开设，并与学生专业能力发展和职业岗位需求密切结合。包括中国特色社会主义、心理健康与职业生涯、职业道德与法治、哲学与人生四个必修模块。</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2</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语文</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依据《中等职业学校语文课程标准-（2020年版）》开设，并注重在职业模块的教学内容中体现专业特色。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180</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3</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数学</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依据《中等职业学校数学课程标准-（2020年版）》开设，并注重在职业模块的教学内容中体现专业特色。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4</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英语</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依据《中等职业学校英语课程标准-（2020年版）》开设，并注重在职业模块的教学内容中体现专业特色。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5</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信息技术</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依据《中等职业学校信息技术课程标准-（2020年版）》开设，并注重在职业模块的教学内容中体现专业特色。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6</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体育与健康</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依据《中等职业学校体育与健康课程标准-（2020年版）》开设，并与专业实际和行业发展密切结合。</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180</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7</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艺术</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依据《中等职业学校公共艺术课程标准-（2020年版）》开设，并注重在职业模块的教学内容中体现专业特色。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8</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rPr>
              <w:t>历史</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依据《中等职业学校历史课程标准-（2020年版）》开设，并与学生专业能力发展和职业岗位需求密切结合。</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r>
    </w:tbl>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3</w:t>
      </w:r>
      <w:r>
        <w:rPr>
          <w:rFonts w:hint="eastAsia" w:ascii="仿宋_GB2312" w:hAnsi="仿宋_GB2312" w:eastAsia="仿宋_GB2312" w:cs="仿宋_GB2312"/>
          <w:color w:val="auto"/>
          <w:sz w:val="21"/>
          <w:szCs w:val="21"/>
        </w:rPr>
        <w:t xml:space="preserve">  公共基础必修课程一览表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cs="仿宋_GB2312"/>
          <w:color w:val="auto"/>
          <w:sz w:val="28"/>
          <w:szCs w:val="28"/>
          <w:lang w:val="en-US" w:eastAsia="zh-CN"/>
        </w:rPr>
        <w:t>限定</w:t>
      </w:r>
      <w:r>
        <w:rPr>
          <w:rFonts w:hint="eastAsia" w:ascii="仿宋_GB2312" w:hAnsi="仿宋_GB2312" w:eastAsia="仿宋_GB2312" w:cs="仿宋_GB2312"/>
          <w:color w:val="auto"/>
          <w:sz w:val="28"/>
          <w:szCs w:val="28"/>
        </w:rPr>
        <w:t>选修课</w:t>
      </w:r>
    </w:p>
    <w:tbl>
      <w:tblPr>
        <w:tblStyle w:val="18"/>
        <w:tblW w:w="9623"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序号</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课程名称</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教学内容和要求</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lang w:val="en-US" w:eastAsia="zh-CN"/>
              </w:rPr>
              <w:t>1</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中华优秀传统文化</w:t>
            </w:r>
          </w:p>
        </w:tc>
        <w:tc>
          <w:tcPr>
            <w:tcW w:w="5804" w:type="dxa"/>
            <w:shd w:val="clear" w:color="auto" w:fill="FFFFFF"/>
            <w:vAlign w:val="center"/>
          </w:tcPr>
          <w:p>
            <w:pPr>
              <w:rPr>
                <w:rFonts w:hint="eastAsia"/>
                <w:color w:val="auto"/>
                <w:sz w:val="21"/>
                <w:szCs w:val="21"/>
              </w:rPr>
            </w:pPr>
            <w:r>
              <w:rPr>
                <w:rFonts w:hint="eastAsia"/>
                <w:color w:val="auto"/>
                <w:sz w:val="21"/>
                <w:szCs w:val="21"/>
              </w:rPr>
              <w:t>传播中国传统文化，使学生体会中国传统文化的精髓，引导学生形成正确的价值观，传承和弘扬中华优秀传统文化。</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2</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劳动教育</w:t>
            </w:r>
          </w:p>
        </w:tc>
        <w:tc>
          <w:tcPr>
            <w:tcW w:w="5804" w:type="dxa"/>
            <w:shd w:val="clear" w:color="auto" w:fill="FFFFFF"/>
            <w:vAlign w:val="center"/>
          </w:tcPr>
          <w:p>
            <w:pPr>
              <w:rPr>
                <w:rFonts w:hint="eastAsia"/>
                <w:color w:val="auto"/>
                <w:sz w:val="21"/>
                <w:szCs w:val="21"/>
              </w:rPr>
            </w:pPr>
            <w:r>
              <w:rPr>
                <w:rFonts w:hint="eastAsia"/>
                <w:color w:val="auto"/>
                <w:sz w:val="21"/>
                <w:szCs w:val="21"/>
                <w:lang w:val="en-US" w:eastAsia="zh-CN"/>
              </w:rPr>
              <w:t>通过</w:t>
            </w:r>
            <w:r>
              <w:rPr>
                <w:rFonts w:hint="eastAsia"/>
                <w:color w:val="auto"/>
                <w:sz w:val="21"/>
                <w:szCs w:val="21"/>
              </w:rPr>
              <w:t>劳动体验，养成良好的劳动素养，增益学生的劳动观念、磨练意志品质，正确认识劳动价值，养成正确的劳动观。</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3</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心理健康</w:t>
            </w:r>
          </w:p>
        </w:tc>
        <w:tc>
          <w:tcPr>
            <w:tcW w:w="5804" w:type="dxa"/>
            <w:shd w:val="clear" w:color="auto" w:fill="FFFFFF"/>
            <w:vAlign w:val="center"/>
          </w:tcPr>
          <w:p>
            <w:pPr>
              <w:rPr>
                <w:rFonts w:hint="eastAsia"/>
                <w:color w:val="auto"/>
                <w:sz w:val="21"/>
                <w:szCs w:val="21"/>
              </w:rPr>
            </w:pPr>
            <w:r>
              <w:rPr>
                <w:rFonts w:hint="eastAsia"/>
                <w:color w:val="auto"/>
                <w:sz w:val="21"/>
                <w:szCs w:val="21"/>
              </w:rPr>
              <w:t>结合生活实际，通过生命学、社会学知识的讲解，解决学生的心理问题，拥有健康的人生观、社会观</w:t>
            </w:r>
            <w:r>
              <w:rPr>
                <w:rFonts w:hint="eastAsia"/>
                <w:color w:val="auto"/>
                <w:sz w:val="21"/>
                <w:szCs w:val="21"/>
                <w:lang w:val="en-US" w:eastAsia="zh-CN"/>
              </w:rPr>
              <w:t>和</w:t>
            </w:r>
            <w:r>
              <w:rPr>
                <w:rFonts w:hint="eastAsia"/>
                <w:color w:val="auto"/>
                <w:sz w:val="21"/>
                <w:szCs w:val="21"/>
              </w:rPr>
              <w:t>积极向上的生活态度。</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36</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4</w:t>
      </w:r>
      <w:r>
        <w:rPr>
          <w:rFonts w:hint="eastAsia" w:ascii="仿宋_GB2312" w:hAnsi="仿宋_GB2312" w:eastAsia="仿宋_GB2312" w:cs="仿宋_GB2312"/>
          <w:color w:val="auto"/>
          <w:sz w:val="21"/>
          <w:szCs w:val="21"/>
        </w:rPr>
        <w:t xml:space="preserve">  公共基础</w:t>
      </w:r>
      <w:r>
        <w:rPr>
          <w:rFonts w:hint="eastAsia" w:ascii="仿宋_GB2312" w:hAnsi="仿宋_GB2312" w:eastAsia="仿宋_GB2312" w:cs="仿宋_GB2312"/>
          <w:color w:val="auto"/>
          <w:sz w:val="21"/>
          <w:szCs w:val="21"/>
          <w:lang w:val="en-US" w:eastAsia="zh-CN"/>
        </w:rPr>
        <w:t>选修</w:t>
      </w:r>
      <w:r>
        <w:rPr>
          <w:rFonts w:hint="eastAsia" w:ascii="仿宋_GB2312" w:hAnsi="仿宋_GB2312" w:eastAsia="仿宋_GB2312" w:cs="仿宋_GB2312"/>
          <w:color w:val="auto"/>
          <w:sz w:val="21"/>
          <w:szCs w:val="21"/>
        </w:rPr>
        <w:t>课程一览表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bookmarkStart w:id="64" w:name="_Toc11804"/>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cs="仿宋_GB2312"/>
          <w:color w:val="auto"/>
          <w:sz w:val="28"/>
          <w:szCs w:val="28"/>
          <w:lang w:val="en-US" w:eastAsia="zh-CN"/>
        </w:rPr>
        <w:t>任意</w:t>
      </w:r>
      <w:r>
        <w:rPr>
          <w:rFonts w:hint="eastAsia" w:ascii="仿宋_GB2312" w:hAnsi="仿宋_GB2312" w:eastAsia="仿宋_GB2312" w:cs="仿宋_GB2312"/>
          <w:color w:val="auto"/>
          <w:sz w:val="28"/>
          <w:szCs w:val="28"/>
        </w:rPr>
        <w:t>选修课</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lang w:val="en-US" w:eastAsia="zh-CN"/>
        </w:rPr>
        <w:t>2选1</w:t>
      </w:r>
      <w:r>
        <w:rPr>
          <w:rFonts w:hint="eastAsia" w:ascii="仿宋_GB2312" w:hAnsi="仿宋_GB2312" w:cs="仿宋_GB2312"/>
          <w:color w:val="auto"/>
          <w:sz w:val="28"/>
          <w:szCs w:val="28"/>
          <w:lang w:eastAsia="zh-CN"/>
        </w:rPr>
        <w:t>）</w:t>
      </w:r>
    </w:p>
    <w:tbl>
      <w:tblPr>
        <w:tblStyle w:val="18"/>
        <w:tblW w:w="9623"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序号</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课程名称</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教学内容和要求</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cs="仿宋_GB2312"/>
                <w:color w:val="auto"/>
                <w:sz w:val="21"/>
                <w:szCs w:val="21"/>
                <w:lang w:val="en-US" w:eastAsia="zh-CN"/>
              </w:rPr>
              <w:t>1</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cs="仿宋_GB2312"/>
                <w:color w:val="auto"/>
                <w:sz w:val="21"/>
                <w:szCs w:val="21"/>
                <w:lang w:val="en-US" w:eastAsia="zh-CN"/>
              </w:rPr>
              <w:t>普通话</w:t>
            </w:r>
          </w:p>
        </w:tc>
        <w:tc>
          <w:tcPr>
            <w:tcW w:w="5804" w:type="dxa"/>
            <w:shd w:val="clear" w:color="auto" w:fill="FFFFFF"/>
            <w:vAlign w:val="center"/>
          </w:tcPr>
          <w:p>
            <w:pPr>
              <w:rPr>
                <w:rFonts w:hint="eastAsia"/>
                <w:color w:val="auto"/>
                <w:sz w:val="21"/>
                <w:szCs w:val="21"/>
              </w:rPr>
            </w:pPr>
            <w:r>
              <w:rPr>
                <w:rFonts w:hint="eastAsia"/>
                <w:color w:val="auto"/>
                <w:sz w:val="21"/>
                <w:szCs w:val="21"/>
              </w:rPr>
              <w:t>依据中等职业学校学生</w:t>
            </w:r>
            <w:r>
              <w:rPr>
                <w:rFonts w:hint="eastAsia"/>
                <w:color w:val="auto"/>
                <w:sz w:val="21"/>
                <w:szCs w:val="21"/>
                <w:lang w:val="en-US" w:eastAsia="zh-CN"/>
              </w:rPr>
              <w:t>普通话水平</w:t>
            </w:r>
            <w:r>
              <w:rPr>
                <w:rFonts w:hint="eastAsia"/>
                <w:color w:val="auto"/>
                <w:sz w:val="21"/>
                <w:szCs w:val="21"/>
              </w:rPr>
              <w:t>要求开设，并注重在职业模块的教学内容中体现专业特色。</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cs="仿宋_GB2312"/>
                <w:color w:val="auto"/>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lang w:val="en-US" w:eastAsia="zh-CN"/>
              </w:rPr>
              <w:t>2</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lang w:val="en-US" w:eastAsia="zh-CN"/>
              </w:rPr>
              <w:t>就业指导</w:t>
            </w:r>
          </w:p>
        </w:tc>
        <w:tc>
          <w:tcPr>
            <w:tcW w:w="5804" w:type="dxa"/>
            <w:shd w:val="clear" w:color="auto" w:fill="FFFFFF"/>
            <w:vAlign w:val="center"/>
          </w:tcPr>
          <w:p>
            <w:pPr>
              <w:rPr>
                <w:rFonts w:hint="eastAsia"/>
                <w:color w:val="auto"/>
                <w:sz w:val="21"/>
                <w:szCs w:val="21"/>
              </w:rPr>
            </w:pPr>
            <w:r>
              <w:rPr>
                <w:rFonts w:hint="eastAsia"/>
                <w:color w:val="auto"/>
                <w:sz w:val="21"/>
                <w:szCs w:val="21"/>
              </w:rPr>
              <w:t>对学生的职业发展进行规划与指导；帮助学生树立正确的职业观和就业观；引导学生正确认识学业和就业的关系；帮助学生顺利就业、成功就业与创业。</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lang w:val="en-US" w:eastAsia="zh-CN"/>
              </w:rPr>
              <w:t>36</w:t>
            </w:r>
          </w:p>
        </w:tc>
      </w:tr>
    </w:tbl>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5</w:t>
      </w:r>
      <w:r>
        <w:rPr>
          <w:rFonts w:hint="eastAsia" w:ascii="仿宋_GB2312" w:hAnsi="仿宋_GB2312" w:eastAsia="仿宋_GB2312" w:cs="仿宋_GB2312"/>
          <w:color w:val="auto"/>
          <w:sz w:val="21"/>
          <w:szCs w:val="21"/>
        </w:rPr>
        <w:t xml:space="preserve">  公共基础</w:t>
      </w:r>
      <w:r>
        <w:rPr>
          <w:rFonts w:hint="eastAsia" w:ascii="仿宋_GB2312" w:hAnsi="仿宋_GB2312" w:eastAsia="仿宋_GB2312" w:cs="仿宋_GB2312"/>
          <w:color w:val="auto"/>
          <w:sz w:val="21"/>
          <w:szCs w:val="21"/>
          <w:lang w:val="en-US" w:eastAsia="zh-CN"/>
        </w:rPr>
        <w:t>选修</w:t>
      </w:r>
      <w:r>
        <w:rPr>
          <w:rFonts w:hint="eastAsia" w:ascii="仿宋_GB2312" w:hAnsi="仿宋_GB2312" w:eastAsia="仿宋_GB2312" w:cs="仿宋_GB2312"/>
          <w:color w:val="auto"/>
          <w:sz w:val="21"/>
          <w:szCs w:val="21"/>
        </w:rPr>
        <w:t>课程一览表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2.专业技能课程</w:t>
      </w:r>
      <w:bookmarkEnd w:id="64"/>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rPr>
        <w:t>（1）专业核心课</w:t>
      </w:r>
    </w:p>
    <w:tbl>
      <w:tblPr>
        <w:tblStyle w:val="18"/>
        <w:tblW w:w="9612" w:type="dxa"/>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序号</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课程名称</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主要教学内容和要求</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1</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汽车机械基础</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了解常用传动机构的构造、原理和液压传动相关知识；掌握汽车中常见传动机构的工作原理，具备正确识读汽车零件图的能力</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2</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汽车电工电子基础</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了解电阻、电容、电感、二极管、三极管等汽车常用电子元件的基础知识，并能进行性能检测；能够熟练运算简单的直流电路</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3</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汽车发动机构造与维修</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了解发动机的结构和工作原理，掌握发动机维护的基础知识，能够拆卸、装配和维修发动机机械部分</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4</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汽车底盘构构造与维修</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了解汽车底盘各系统、总成和部件的结构、功用，掌握底盘维护的基础知识，能够拆卸、装配和维修汽车底盘各总成机械部分</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5</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汽车电器设备构造与维修</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掌握汽车蓄电池、交流发电机与调节器、起动系统、点火系统、照明与信号系统、仪表与显示系统、等汽车电器设备的专业基础知识。同时，能够实际检测并排除汽车电器设备方面的简单故障。</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6</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汽车定期维护</w:t>
            </w:r>
            <w:r>
              <w:rPr>
                <w:rFonts w:hint="eastAsia" w:ascii="仿宋_GB2312" w:hAnsi="仿宋_GB2312" w:eastAsia="仿宋_GB2312" w:cs="仿宋_GB2312"/>
                <w:color w:val="auto"/>
                <w:sz w:val="21"/>
                <w:szCs w:val="21"/>
                <w:lang w:val="en-US" w:eastAsia="zh-CN"/>
              </w:rPr>
              <w:t>与车轮定位</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了解汽车的类型、牌号；掌握汽车各系统与总成的名称、作用、基本结构和连接关系，能初步分析汽车基本结构；能完成新车交车前的检测（PDl检测），能完成汽车5 000 km以内的各级维护，掌握汽车相关零部件的检查和调整方法，能完成汽车40 000 km以内的维护工作，能进行车轮定位、车轮换位、汽车尾气排放检测、汽车电气系统工作情况检查等车辆维护作业，培养学生认真负责的工作态度和团队协作能力。</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108</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6</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专业核心</w:t>
      </w:r>
      <w:r>
        <w:rPr>
          <w:rFonts w:hint="eastAsia" w:ascii="仿宋_GB2312" w:hAnsi="仿宋_GB2312" w:eastAsia="仿宋_GB2312" w:cs="仿宋_GB2312"/>
          <w:color w:val="auto"/>
          <w:sz w:val="21"/>
          <w:szCs w:val="21"/>
        </w:rPr>
        <w:t>课程一览表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rPr>
          <w:rFonts w:hint="eastAsia" w:ascii="仿宋_GB2312" w:hAnsi="仿宋_GB2312" w:eastAsia="仿宋_GB2312" w:cs="仿宋_GB2312"/>
          <w:color w:val="auto"/>
          <w:sz w:val="28"/>
          <w:szCs w:val="28"/>
        </w:rPr>
      </w:pPr>
      <w:bookmarkStart w:id="65" w:name="_Toc22788"/>
      <w:r>
        <w:rPr>
          <w:rFonts w:hint="eastAsia" w:ascii="仿宋_GB2312" w:hAnsi="仿宋_GB2312" w:cs="仿宋_GB2312"/>
          <w:color w:val="auto"/>
          <w:sz w:val="28"/>
          <w:szCs w:val="28"/>
          <w:lang w:val="en-US" w:eastAsia="zh-CN"/>
        </w:rPr>
        <w:t>（2）</w:t>
      </w:r>
      <w:r>
        <w:rPr>
          <w:rFonts w:hint="eastAsia" w:ascii="仿宋_GB2312" w:hAnsi="仿宋_GB2312" w:eastAsia="仿宋_GB2312" w:cs="仿宋_GB2312"/>
          <w:color w:val="auto"/>
          <w:sz w:val="28"/>
          <w:szCs w:val="28"/>
        </w:rPr>
        <w:t>专业</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lang w:val="en-US" w:eastAsia="zh-CN"/>
        </w:rPr>
        <w:t>技能</w:t>
      </w:r>
      <w:r>
        <w:rPr>
          <w:rFonts w:hint="eastAsia" w:ascii="仿宋_GB2312" w:hAnsi="仿宋_GB2312" w:cs="仿宋_GB2312"/>
          <w:color w:val="auto"/>
          <w:sz w:val="28"/>
          <w:szCs w:val="28"/>
          <w:lang w:eastAsia="zh-CN"/>
        </w:rPr>
        <w:t>）</w:t>
      </w:r>
      <w:r>
        <w:rPr>
          <w:rFonts w:hint="eastAsia" w:ascii="仿宋_GB2312" w:hAnsi="仿宋_GB2312" w:eastAsia="仿宋_GB2312" w:cs="仿宋_GB2312"/>
          <w:color w:val="auto"/>
          <w:sz w:val="28"/>
          <w:szCs w:val="28"/>
        </w:rPr>
        <w:t>方向课</w:t>
      </w:r>
      <w:bookmarkEnd w:id="65"/>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bookmarkStart w:id="66" w:name="_Toc6050"/>
      <w:bookmarkStart w:id="67" w:name="_Toc29440"/>
      <w:r>
        <w:rPr>
          <w:rFonts w:hint="eastAsia" w:ascii="仿宋_GB2312" w:hAnsi="仿宋_GB2312" w:eastAsia="仿宋_GB2312" w:cs="仿宋_GB2312"/>
          <w:color w:val="auto"/>
          <w:sz w:val="28"/>
          <w:szCs w:val="28"/>
        </w:rPr>
        <w:t>①专业技能方向1——汽车机电</w:t>
      </w:r>
      <w:bookmarkEnd w:id="66"/>
      <w:bookmarkEnd w:id="67"/>
      <w:r>
        <w:rPr>
          <w:rFonts w:hint="eastAsia" w:ascii="仿宋_GB2312" w:hAnsi="仿宋_GB2312" w:eastAsia="仿宋_GB2312" w:cs="仿宋_GB2312"/>
          <w:color w:val="auto"/>
          <w:sz w:val="28"/>
          <w:szCs w:val="28"/>
        </w:rPr>
        <w:t>维修</w:t>
      </w:r>
    </w:p>
    <w:tbl>
      <w:tblPr>
        <w:tblStyle w:val="18"/>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813"/>
        <w:gridCol w:w="5480"/>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jc w:val="center"/>
        </w:trPr>
        <w:tc>
          <w:tcPr>
            <w:tcW w:w="78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序号</w:t>
            </w:r>
          </w:p>
        </w:tc>
        <w:tc>
          <w:tcPr>
            <w:tcW w:w="181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课程名称</w:t>
            </w:r>
          </w:p>
        </w:tc>
        <w:tc>
          <w:tcPr>
            <w:tcW w:w="548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主要教学内容和要求</w:t>
            </w:r>
          </w:p>
        </w:tc>
        <w:tc>
          <w:tcPr>
            <w:tcW w:w="120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8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181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汽车发动机电控系统检修</w:t>
            </w:r>
          </w:p>
        </w:tc>
        <w:tc>
          <w:tcPr>
            <w:tcW w:w="548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掌握蓄电池、发电机、起动机等发动机电器的结构和工作原理；掌握电控发动机供油、点火、进排气、控制等系统的结构和工作原理；能运用汽车检测设备检测发动机电器与控制系统的零部件，能排除发动机电器与控制系统简易故障</w:t>
            </w:r>
          </w:p>
        </w:tc>
        <w:tc>
          <w:tcPr>
            <w:tcW w:w="120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w:t>
            </w:r>
          </w:p>
        </w:tc>
        <w:tc>
          <w:tcPr>
            <w:tcW w:w="181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汽车车身电气设备检修</w:t>
            </w:r>
          </w:p>
        </w:tc>
        <w:tc>
          <w:tcPr>
            <w:tcW w:w="548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掌握汽车照明、仪表、中控门锁、天窗、喇叭、雨刮、安全气囊、空调等系统的结构和工作原理，能正确运用汽车电路图、维修手册，能正确使用汽车电气设备维修基本工具、设备拆卸、检查、装配车身电气设备各总成部件</w:t>
            </w:r>
            <w:r>
              <w:rPr>
                <w:rFonts w:hint="eastAsia" w:ascii="仿宋_GB2312" w:hAnsi="仿宋_GB2312" w:cs="仿宋_GB2312"/>
                <w:color w:val="auto"/>
                <w:sz w:val="21"/>
                <w:szCs w:val="21"/>
                <w:lang w:val="en-US" w:eastAsia="zh-CN"/>
              </w:rPr>
              <w:t xml:space="preserve"> </w:t>
            </w:r>
          </w:p>
        </w:tc>
        <w:tc>
          <w:tcPr>
            <w:tcW w:w="120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3</w:t>
            </w:r>
          </w:p>
        </w:tc>
        <w:tc>
          <w:tcPr>
            <w:tcW w:w="1813"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汽车</w:t>
            </w:r>
            <w:r>
              <w:rPr>
                <w:rFonts w:hint="eastAsia" w:ascii="仿宋_GB2312" w:hAnsi="仿宋_GB2312" w:cs="仿宋_GB2312"/>
                <w:color w:val="auto"/>
                <w:sz w:val="21"/>
                <w:szCs w:val="21"/>
                <w:highlight w:val="none"/>
                <w:lang w:val="en-US" w:eastAsia="zh-CN"/>
              </w:rPr>
              <w:t>钣金技术</w:t>
            </w:r>
          </w:p>
        </w:tc>
        <w:tc>
          <w:tcPr>
            <w:tcW w:w="548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cs="仿宋_GB2312"/>
                <w:color w:val="auto"/>
                <w:sz w:val="21"/>
                <w:szCs w:val="21"/>
                <w:highlight w:val="none"/>
                <w:lang w:val="en-US" w:eastAsia="zh-CN"/>
              </w:rPr>
            </w:pPr>
          </w:p>
        </w:tc>
        <w:tc>
          <w:tcPr>
            <w:tcW w:w="120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highlight w:val="none"/>
                <w:lang w:eastAsia="zh-CN"/>
              </w:rPr>
            </w:pPr>
            <w:r>
              <w:rPr>
                <w:rFonts w:hint="eastAsia" w:ascii="仿宋_GB2312" w:hAnsi="仿宋_GB2312" w:cs="仿宋_GB2312"/>
                <w:color w:val="auto"/>
                <w:sz w:val="21"/>
                <w:szCs w:val="21"/>
                <w:highlight w:val="none"/>
                <w:lang w:val="en-US" w:eastAsia="zh-CN"/>
              </w:rPr>
              <w:t>4</w:t>
            </w:r>
          </w:p>
        </w:tc>
        <w:tc>
          <w:tcPr>
            <w:tcW w:w="181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汽车</w:t>
            </w:r>
            <w:r>
              <w:rPr>
                <w:rFonts w:hint="eastAsia" w:ascii="仿宋_GB2312" w:hAnsi="仿宋_GB2312" w:cs="仿宋_GB2312"/>
                <w:color w:val="auto"/>
                <w:sz w:val="21"/>
                <w:szCs w:val="21"/>
                <w:highlight w:val="none"/>
                <w:lang w:val="en-US" w:eastAsia="zh-CN"/>
              </w:rPr>
              <w:t>涂装技术</w:t>
            </w:r>
          </w:p>
        </w:tc>
        <w:tc>
          <w:tcPr>
            <w:tcW w:w="548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highlight w:val="none"/>
              </w:rPr>
            </w:pPr>
          </w:p>
        </w:tc>
        <w:tc>
          <w:tcPr>
            <w:tcW w:w="120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highlight w:val="none"/>
                <w:lang w:eastAsia="zh-CN"/>
              </w:rPr>
            </w:pPr>
            <w:r>
              <w:rPr>
                <w:rFonts w:hint="eastAsia" w:ascii="仿宋_GB2312" w:hAnsi="仿宋_GB2312" w:cs="仿宋_GB2312"/>
                <w:color w:val="auto"/>
                <w:sz w:val="21"/>
                <w:szCs w:val="21"/>
                <w:highlight w:val="none"/>
                <w:lang w:val="en-US" w:eastAsia="zh-CN"/>
              </w:rPr>
              <w:t>108</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7</w:t>
      </w:r>
      <w:r>
        <w:rPr>
          <w:rFonts w:hint="eastAsia" w:ascii="仿宋_GB2312" w:hAnsi="仿宋_GB2312" w:eastAsia="仿宋_GB2312" w:cs="仿宋_GB2312"/>
          <w:color w:val="auto"/>
          <w:sz w:val="21"/>
          <w:szCs w:val="21"/>
        </w:rPr>
        <w:t xml:space="preserve">  专业技能方向1课程一览表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bookmarkStart w:id="68" w:name="_Toc28325"/>
      <w:bookmarkStart w:id="69" w:name="_Toc7519"/>
      <w:r>
        <w:rPr>
          <w:rFonts w:hint="eastAsia" w:ascii="仿宋_GB2312" w:hAnsi="仿宋_GB2312" w:eastAsia="仿宋_GB2312" w:cs="仿宋_GB2312"/>
          <w:color w:val="auto"/>
          <w:sz w:val="28"/>
          <w:szCs w:val="28"/>
        </w:rPr>
        <w:t>②专业技能方向2——商用车维修</w:t>
      </w:r>
      <w:bookmarkEnd w:id="68"/>
      <w:bookmarkEnd w:id="69"/>
    </w:p>
    <w:tbl>
      <w:tblPr>
        <w:tblStyle w:val="18"/>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93"/>
        <w:gridCol w:w="1789"/>
        <w:gridCol w:w="5416"/>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85" w:hRule="atLeast"/>
          <w:tblHeader/>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序号</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课程名称</w:t>
            </w:r>
          </w:p>
        </w:tc>
        <w:tc>
          <w:tcPr>
            <w:tcW w:w="5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主要教学内容和要求</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71" w:hRule="atLeast"/>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1</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商用车</w:t>
            </w:r>
            <w:r>
              <w:rPr>
                <w:rFonts w:hint="eastAsia" w:ascii="仿宋_GB2312" w:hAnsi="仿宋_GB2312" w:cs="仿宋_GB2312"/>
                <w:color w:val="auto"/>
                <w:sz w:val="21"/>
                <w:szCs w:val="21"/>
                <w:lang w:val="en-US" w:eastAsia="zh-CN"/>
              </w:rPr>
              <w:t>柴油</w:t>
            </w:r>
            <w:r>
              <w:rPr>
                <w:rFonts w:hint="eastAsia" w:ascii="仿宋_GB2312" w:hAnsi="仿宋_GB2312" w:eastAsia="仿宋_GB2312" w:cs="仿宋_GB2312"/>
                <w:color w:val="auto"/>
                <w:sz w:val="21"/>
                <w:szCs w:val="21"/>
              </w:rPr>
              <w:t>发动机机械维修</w:t>
            </w:r>
          </w:p>
        </w:tc>
        <w:tc>
          <w:tcPr>
            <w:tcW w:w="5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在相关课程的基础上，进一步学习商用车发动机的构造，以及维修与检测设备、维修资料的使用方法等，能初步分析商用车发动机机械故障，能够诊断与排除发动机机械的一般故障。</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81" w:hRule="atLeast"/>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2</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商用车底盘机械系统维修</w:t>
            </w:r>
          </w:p>
        </w:tc>
        <w:tc>
          <w:tcPr>
            <w:tcW w:w="5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在相关课程的基础上，进一步学习商用车底盘的构造，以及维修与检测设备、维修资料的使用方法等，能初步分析商用车底盘机械故障，能够诊断与排除底盘机械的一般故障。</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81" w:hRule="atLeast"/>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3</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cs="仿宋_GB2312"/>
                <w:color w:val="auto"/>
                <w:sz w:val="21"/>
                <w:szCs w:val="21"/>
                <w:lang w:val="en-US" w:eastAsia="zh-CN"/>
              </w:rPr>
              <w:t>商用车</w:t>
            </w:r>
            <w:r>
              <w:rPr>
                <w:rFonts w:hint="eastAsia" w:ascii="仿宋_GB2312" w:hAnsi="仿宋_GB2312" w:eastAsia="仿宋_GB2312" w:cs="仿宋_GB2312"/>
                <w:color w:val="auto"/>
                <w:sz w:val="21"/>
                <w:szCs w:val="21"/>
              </w:rPr>
              <w:t>柴油机电控系统检修</w:t>
            </w:r>
          </w:p>
        </w:tc>
        <w:tc>
          <w:tcPr>
            <w:tcW w:w="5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在相关课程的基础上，进一步学习现代汽车柴油机电控系统的构造，以及维修与检测设备、维修资料的使用方法等，能初步分析汽车发动机和底盘综合故障，能够使用与保养以及常见综合故障的排除。</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81" w:hRule="atLeast"/>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4</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商用车车身电气系统检修</w:t>
            </w:r>
          </w:p>
        </w:tc>
        <w:tc>
          <w:tcPr>
            <w:tcW w:w="5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在相关课程的基础上，进一步学习商用车车身控制系统的结构和工作原理，能正确运用汽车电路图、维修手册，能正确使用汽车电气设备维修基本工具、设备拆卸、检查、装配车身电气设备各总成部件。</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lang w:val="en-US" w:eastAsia="zh-CN"/>
              </w:rPr>
              <w:t>108</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_GB2312" w:hAnsi="仿宋_GB2312" w:eastAsia="仿宋_GB2312" w:cs="仿宋_GB2312"/>
          <w:color w:val="auto"/>
          <w:sz w:val="21"/>
          <w:szCs w:val="21"/>
          <w:lang w:val="en-US" w:eastAsia="zh-CN"/>
        </w:rPr>
      </w:pPr>
      <w:bookmarkStart w:id="70" w:name="_Toc25518"/>
      <w:bookmarkStart w:id="71" w:name="_Toc15735"/>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8</w:t>
      </w:r>
      <w:r>
        <w:rPr>
          <w:rFonts w:hint="eastAsia" w:ascii="仿宋_GB2312" w:hAnsi="仿宋_GB2312" w:eastAsia="仿宋_GB2312" w:cs="仿宋_GB2312"/>
          <w:color w:val="auto"/>
          <w:sz w:val="21"/>
          <w:szCs w:val="21"/>
        </w:rPr>
        <w:t xml:space="preserve">  专业技能方向</w:t>
      </w:r>
      <w:r>
        <w:rPr>
          <w:rFonts w:hint="eastAsia" w:ascii="仿宋_GB2312" w:hAnsi="仿宋_GB2312" w:eastAsia="仿宋_GB2312" w:cs="仿宋_GB2312"/>
          <w:color w:val="auto"/>
          <w:sz w:val="21"/>
          <w:szCs w:val="21"/>
          <w:lang w:val="en-US" w:eastAsia="zh-CN"/>
        </w:rPr>
        <w:t>2</w:t>
      </w:r>
      <w:r>
        <w:rPr>
          <w:rFonts w:hint="eastAsia" w:ascii="仿宋_GB2312" w:hAnsi="仿宋_GB2312" w:eastAsia="仿宋_GB2312" w:cs="仿宋_GB2312"/>
          <w:color w:val="auto"/>
          <w:sz w:val="21"/>
          <w:szCs w:val="21"/>
        </w:rPr>
        <w:t>课程一览表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cs="仿宋_GB2312"/>
          <w:color w:val="auto"/>
          <w:sz w:val="28"/>
          <w:szCs w:val="28"/>
          <w:lang w:val="en-US" w:eastAsia="zh-CN"/>
        </w:rPr>
        <w:t>（3）</w:t>
      </w:r>
      <w:r>
        <w:rPr>
          <w:rFonts w:hint="eastAsia" w:ascii="仿宋_GB2312" w:hAnsi="仿宋_GB2312" w:eastAsia="仿宋_GB2312" w:cs="仿宋_GB2312"/>
          <w:color w:val="auto"/>
          <w:sz w:val="28"/>
          <w:szCs w:val="28"/>
        </w:rPr>
        <w:t>专业选修课</w:t>
      </w:r>
      <w:bookmarkEnd w:id="70"/>
      <w:bookmarkEnd w:id="71"/>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lang w:val="en-US" w:eastAsia="zh-CN"/>
        </w:rPr>
        <w:t>4选2</w:t>
      </w:r>
      <w:r>
        <w:rPr>
          <w:rFonts w:hint="eastAsia" w:ascii="仿宋_GB2312" w:hAnsi="仿宋_GB2312" w:cs="仿宋_GB2312"/>
          <w:color w:val="auto"/>
          <w:sz w:val="28"/>
          <w:szCs w:val="28"/>
          <w:lang w:eastAsia="zh-CN"/>
        </w:rPr>
        <w:t>）</w:t>
      </w:r>
    </w:p>
    <w:tbl>
      <w:tblPr>
        <w:tblStyle w:val="18"/>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93"/>
        <w:gridCol w:w="1789"/>
        <w:gridCol w:w="5416"/>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88" w:hRule="atLeast"/>
          <w:tblHeader/>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序号</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课程名称</w:t>
            </w:r>
          </w:p>
        </w:tc>
        <w:tc>
          <w:tcPr>
            <w:tcW w:w="5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主要教学内容和要求</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1</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汽车机械识图</w:t>
            </w:r>
          </w:p>
        </w:tc>
        <w:tc>
          <w:tcPr>
            <w:tcW w:w="5416" w:type="dxa"/>
            <w:vAlign w:val="center"/>
          </w:tcPr>
          <w:p>
            <w:pPr>
              <w:rPr>
                <w:rFonts w:hint="eastAsia" w:ascii="仿宋_GB2312" w:hAnsi="仿宋_GB2312" w:eastAsia="仿宋_GB2312" w:cs="仿宋_GB2312"/>
                <w:color w:val="auto"/>
                <w:sz w:val="21"/>
                <w:szCs w:val="21"/>
              </w:rPr>
            </w:pPr>
            <w:r>
              <w:rPr>
                <w:rFonts w:hint="eastAsia"/>
                <w:color w:val="auto"/>
                <w:sz w:val="21"/>
                <w:szCs w:val="21"/>
              </w:rPr>
              <w:t>学习正投影的基本原理、图示方法和国家制图标准。使学生具有一定的空间想象能力，能正确阅读中等复杂程度的零件图和装配图，能够绘制简单的零件图，具有使用常用绘图工具绘制草图的基本技能。</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53" w:hRule="atLeast"/>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2</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汽车保险与理赔</w:t>
            </w:r>
          </w:p>
        </w:tc>
        <w:tc>
          <w:tcPr>
            <w:tcW w:w="5416" w:type="dxa"/>
            <w:vAlign w:val="center"/>
          </w:tcPr>
          <w:p>
            <w:pPr>
              <w:rPr>
                <w:rFonts w:hint="eastAsia" w:ascii="仿宋_GB2312" w:hAnsi="仿宋_GB2312" w:eastAsia="仿宋_GB2312" w:cs="仿宋_GB2312"/>
                <w:color w:val="auto"/>
                <w:sz w:val="21"/>
                <w:szCs w:val="21"/>
              </w:rPr>
            </w:pPr>
            <w:r>
              <w:rPr>
                <w:rFonts w:hint="eastAsia"/>
                <w:color w:val="auto"/>
                <w:sz w:val="21"/>
                <w:szCs w:val="21"/>
              </w:rPr>
              <w:t>了解汽车保险的含义和特点；了解汽车保险经营情况；了解汽车保险合同与原则；为将来从事汽车相关工作发展奠定基础。</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3</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cs="仿宋_GB2312"/>
                <w:color w:val="auto"/>
                <w:sz w:val="21"/>
                <w:szCs w:val="21"/>
                <w:lang w:val="en-US" w:eastAsia="zh-CN"/>
              </w:rPr>
              <w:t>新能源汽车结构与检修</w:t>
            </w:r>
          </w:p>
        </w:tc>
        <w:tc>
          <w:tcPr>
            <w:tcW w:w="5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highlight w:val="none"/>
              </w:rPr>
              <w:t>在相关课程的基础上，了解燃气汽车、燃料电池汽车、纯电动汽车、液化石油气汽车、混合动力汽车的特点、类型；掌握常见新能源汽车的结构和工作原理；熟悉燃气汽车、纯电动汽车、混合动力汽车的检修流程；能使用专用工具、设备检测燃气汽车、纯电动汽车、混合动力汽车的动力总成。</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4</w:t>
            </w:r>
          </w:p>
        </w:tc>
        <w:tc>
          <w:tcPr>
            <w:tcW w:w="178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汽车维修业务接待</w:t>
            </w:r>
          </w:p>
        </w:tc>
        <w:tc>
          <w:tcPr>
            <w:tcW w:w="5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color w:val="auto"/>
                <w:sz w:val="21"/>
                <w:szCs w:val="21"/>
              </w:rPr>
              <w:t>了解汽车维修接待礼仪；汽车维修接待流程；汽车维修接待业务知识等；会接待维修客户；会判断大致维修服务项目；会填写派工单，组织安排生产；会预计维修时间和费用；会进行服务沟通；会进行客户结算。</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lang w:val="en-US" w:eastAsia="zh-CN"/>
              </w:rPr>
              <w:t>72</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_GB2312" w:hAnsi="仿宋_GB2312" w:cs="仿宋_GB2312"/>
          <w:color w:val="auto"/>
          <w:sz w:val="28"/>
          <w:szCs w:val="28"/>
          <w:lang w:val="en-US" w:eastAsia="zh-CN"/>
        </w:rPr>
      </w:pPr>
      <w:bookmarkStart w:id="72" w:name="_Toc20091"/>
      <w:bookmarkStart w:id="73" w:name="_Toc5028"/>
      <w:bookmarkStart w:id="74" w:name="_Toc12645"/>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9</w:t>
      </w:r>
      <w:r>
        <w:rPr>
          <w:rFonts w:hint="eastAsia" w:ascii="仿宋_GB2312" w:hAnsi="仿宋_GB2312" w:eastAsia="仿宋_GB2312" w:cs="仿宋_GB2312"/>
          <w:color w:val="auto"/>
          <w:sz w:val="21"/>
          <w:szCs w:val="21"/>
        </w:rPr>
        <w:t xml:space="preserve">  </w:t>
      </w:r>
      <w:r>
        <w:rPr>
          <w:rFonts w:hint="eastAsia" w:ascii="仿宋_GB2312" w:hAnsi="仿宋_GB2312" w:cs="仿宋_GB2312"/>
          <w:color w:val="auto"/>
          <w:sz w:val="21"/>
          <w:szCs w:val="21"/>
          <w:lang w:val="en-US" w:eastAsia="zh-CN"/>
        </w:rPr>
        <w:t>专业选修</w:t>
      </w:r>
      <w:r>
        <w:rPr>
          <w:rFonts w:hint="eastAsia" w:ascii="仿宋_GB2312" w:hAnsi="仿宋_GB2312" w:eastAsia="仿宋_GB2312" w:cs="仿宋_GB2312"/>
          <w:color w:val="auto"/>
          <w:sz w:val="21"/>
          <w:szCs w:val="21"/>
        </w:rPr>
        <w:t>课程一览表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cs="仿宋_GB2312"/>
          <w:color w:val="auto"/>
          <w:sz w:val="28"/>
          <w:szCs w:val="28"/>
          <w:lang w:val="en-US" w:eastAsia="zh-CN"/>
        </w:rPr>
        <w:t>（4）</w:t>
      </w:r>
      <w:r>
        <w:rPr>
          <w:rFonts w:hint="eastAsia" w:ascii="仿宋_GB2312" w:hAnsi="仿宋_GB2312" w:eastAsia="仿宋_GB2312" w:cs="仿宋_GB2312"/>
          <w:color w:val="auto"/>
          <w:sz w:val="28"/>
          <w:szCs w:val="28"/>
          <w:lang w:val="en-US" w:eastAsia="zh-CN"/>
        </w:rPr>
        <w:t>综合实训</w:t>
      </w:r>
      <w:bookmarkEnd w:id="72"/>
      <w:bookmarkEnd w:id="73"/>
      <w:bookmarkEnd w:id="74"/>
    </w:p>
    <w:tbl>
      <w:tblPr>
        <w:tblStyle w:val="18"/>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0" w:type="dxa"/>
          <w:left w:w="108" w:type="dxa"/>
          <w:bottom w:w="170" w:type="dxa"/>
          <w:right w:w="108" w:type="dxa"/>
        </w:tblCellMar>
      </w:tblPr>
      <w:tblGrid>
        <w:gridCol w:w="801"/>
        <w:gridCol w:w="1799"/>
        <w:gridCol w:w="5398"/>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257" w:hRule="atLeast"/>
          <w:tblHeader/>
          <w:jc w:val="center"/>
        </w:trPr>
        <w:tc>
          <w:tcPr>
            <w:tcW w:w="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序号</w:t>
            </w:r>
          </w:p>
        </w:tc>
        <w:tc>
          <w:tcPr>
            <w:tcW w:w="179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课程名称</w:t>
            </w:r>
          </w:p>
        </w:tc>
        <w:tc>
          <w:tcPr>
            <w:tcW w:w="539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主要教学内容和要求</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956" w:hRule="atLeast"/>
          <w:jc w:val="center"/>
        </w:trPr>
        <w:tc>
          <w:tcPr>
            <w:tcW w:w="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179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职业技能X证书实训</w:t>
            </w:r>
          </w:p>
        </w:tc>
        <w:tc>
          <w:tcPr>
            <w:tcW w:w="539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sz w:val="21"/>
                <w:szCs w:val="21"/>
                <w:lang w:val="en-US" w:eastAsia="zh-CN"/>
              </w:rPr>
              <w:t>在相关课程的基础上，根据学生能力分类</w:t>
            </w:r>
            <w:r>
              <w:rPr>
                <w:rFonts w:hint="eastAsia" w:ascii="仿宋_GB2312" w:hAnsi="仿宋_GB2312" w:eastAsia="仿宋_GB2312" w:cs="仿宋_GB2312"/>
                <w:sz w:val="21"/>
                <w:szCs w:val="21"/>
              </w:rPr>
              <w:t>对X证书</w:t>
            </w:r>
            <w:r>
              <w:rPr>
                <w:rFonts w:hint="eastAsia" w:ascii="仿宋_GB2312" w:hAnsi="仿宋_GB2312" w:eastAsia="仿宋_GB2312" w:cs="仿宋_GB2312"/>
                <w:sz w:val="21"/>
                <w:szCs w:val="21"/>
                <w:lang w:val="en-US" w:eastAsia="zh-CN"/>
              </w:rPr>
              <w:t>的</w:t>
            </w:r>
            <w:r>
              <w:rPr>
                <w:rFonts w:hint="eastAsia" w:ascii="仿宋_GB2312" w:hAnsi="仿宋_GB2312" w:eastAsia="仿宋_GB2312" w:cs="仿宋_GB2312"/>
                <w:sz w:val="21"/>
                <w:szCs w:val="21"/>
              </w:rPr>
              <w:t>【汽车动力与驱动系统综合分析技术】</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【汽车</w:t>
            </w:r>
            <w:r>
              <w:rPr>
                <w:rFonts w:hint="eastAsia" w:ascii="仿宋_GB2312" w:hAnsi="仿宋_GB2312" w:cs="仿宋_GB2312"/>
                <w:sz w:val="21"/>
                <w:szCs w:val="21"/>
                <w:lang w:val="en-US" w:eastAsia="zh-CN"/>
              </w:rPr>
              <w:t>转向悬架与制动安全</w:t>
            </w:r>
            <w:r>
              <w:rPr>
                <w:rFonts w:hint="eastAsia" w:ascii="仿宋_GB2312" w:hAnsi="仿宋_GB2312" w:eastAsia="仿宋_GB2312" w:cs="仿宋_GB2312"/>
                <w:sz w:val="21"/>
                <w:szCs w:val="21"/>
              </w:rPr>
              <w:t>技术】</w:t>
            </w:r>
            <w:r>
              <w:rPr>
                <w:rFonts w:hint="eastAsia" w:ascii="仿宋_GB2312" w:hAnsi="仿宋_GB2312" w:cs="仿宋_GB2312"/>
                <w:sz w:val="21"/>
                <w:szCs w:val="21"/>
                <w:lang w:eastAsia="zh-CN"/>
              </w:rPr>
              <w:t>、</w:t>
            </w:r>
            <w:r>
              <w:rPr>
                <w:rFonts w:hint="eastAsia" w:ascii="仿宋_GB2312" w:hAnsi="仿宋_GB2312" w:eastAsia="仿宋_GB2312" w:cs="仿宋_GB2312"/>
                <w:sz w:val="21"/>
                <w:szCs w:val="21"/>
              </w:rPr>
              <w:t>【汽车</w:t>
            </w:r>
            <w:r>
              <w:rPr>
                <w:rFonts w:hint="eastAsia" w:ascii="仿宋_GB2312" w:hAnsi="仿宋_GB2312" w:cs="仿宋_GB2312"/>
                <w:sz w:val="21"/>
                <w:szCs w:val="21"/>
                <w:lang w:val="en-US" w:eastAsia="zh-CN"/>
              </w:rPr>
              <w:t>电子电气与空调舒适系统</w:t>
            </w:r>
            <w:r>
              <w:rPr>
                <w:rFonts w:hint="eastAsia" w:ascii="仿宋_GB2312" w:hAnsi="仿宋_GB2312" w:eastAsia="仿宋_GB2312" w:cs="仿宋_GB2312"/>
                <w:sz w:val="21"/>
                <w:szCs w:val="21"/>
              </w:rPr>
              <w:t>技术】初级模块的职业能力进行训练和</w:t>
            </w:r>
            <w:r>
              <w:rPr>
                <w:rFonts w:hint="eastAsia" w:ascii="仿宋_GB2312" w:hAnsi="仿宋_GB2312" w:eastAsia="仿宋_GB2312" w:cs="仿宋_GB2312"/>
                <w:sz w:val="21"/>
                <w:szCs w:val="21"/>
                <w:lang w:val="en-US" w:eastAsia="zh-CN"/>
              </w:rPr>
              <w:t>考评</w:t>
            </w:r>
            <w:r>
              <w:rPr>
                <w:rFonts w:hint="eastAsia" w:ascii="仿宋_GB2312" w:hAnsi="仿宋_GB2312" w:eastAsia="仿宋_GB2312" w:cs="仿宋_GB2312"/>
                <w:sz w:val="21"/>
                <w:szCs w:val="21"/>
              </w:rPr>
              <w:t>。</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612" w:hRule="atLeast"/>
          <w:jc w:val="center"/>
        </w:trPr>
        <w:tc>
          <w:tcPr>
            <w:tcW w:w="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cs="仿宋_GB2312"/>
                <w:color w:val="auto"/>
                <w:sz w:val="21"/>
                <w:szCs w:val="21"/>
                <w:lang w:val="en-US" w:eastAsia="zh-CN"/>
              </w:rPr>
              <w:t>2</w:t>
            </w:r>
          </w:p>
        </w:tc>
        <w:tc>
          <w:tcPr>
            <w:tcW w:w="179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汽车</w:t>
            </w:r>
            <w:r>
              <w:rPr>
                <w:rFonts w:hint="eastAsia" w:ascii="仿宋_GB2312" w:hAnsi="仿宋_GB2312" w:cs="仿宋_GB2312"/>
                <w:color w:val="auto"/>
                <w:sz w:val="21"/>
                <w:szCs w:val="21"/>
                <w:lang w:val="en-US" w:eastAsia="zh-CN"/>
              </w:rPr>
              <w:t>综合故障诊断</w:t>
            </w:r>
            <w:r>
              <w:rPr>
                <w:rFonts w:hint="eastAsia" w:ascii="仿宋_GB2312" w:hAnsi="仿宋_GB2312" w:eastAsia="仿宋_GB2312" w:cs="仿宋_GB2312"/>
                <w:color w:val="auto"/>
                <w:sz w:val="21"/>
                <w:szCs w:val="21"/>
              </w:rPr>
              <w:t>实训</w:t>
            </w:r>
          </w:p>
        </w:tc>
        <w:tc>
          <w:tcPr>
            <w:tcW w:w="5398" w:type="dxa"/>
            <w:vAlign w:val="center"/>
          </w:tcPr>
          <w:p>
            <w:pPr>
              <w:rPr>
                <w:rFonts w:hint="eastAsia"/>
                <w:color w:val="auto"/>
                <w:sz w:val="21"/>
                <w:szCs w:val="21"/>
              </w:rPr>
            </w:pPr>
            <w:r>
              <w:rPr>
                <w:rFonts w:hint="eastAsia"/>
                <w:color w:val="auto"/>
                <w:sz w:val="21"/>
                <w:szCs w:val="21"/>
              </w:rPr>
              <w:t>在相关课程的基础上，</w:t>
            </w:r>
            <w:r>
              <w:rPr>
                <w:rFonts w:hint="eastAsia"/>
                <w:color w:val="auto"/>
                <w:sz w:val="21"/>
                <w:szCs w:val="21"/>
                <w:lang w:val="en-US" w:eastAsia="zh-CN"/>
              </w:rPr>
              <w:t>综合训练使用维修设备、工量具对汽油机机械系统、电控系统、车身控制系统等的测量</w:t>
            </w:r>
            <w:r>
              <w:rPr>
                <w:rFonts w:hint="eastAsia"/>
                <w:color w:val="auto"/>
                <w:sz w:val="21"/>
                <w:szCs w:val="21"/>
              </w:rPr>
              <w:t>；能分析汽车综合的故障，能够诊断与排除汽车的综合故障。</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816" w:hRule="atLeast"/>
          <w:jc w:val="center"/>
        </w:trPr>
        <w:tc>
          <w:tcPr>
            <w:tcW w:w="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3</w:t>
            </w:r>
          </w:p>
        </w:tc>
        <w:tc>
          <w:tcPr>
            <w:tcW w:w="179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商用车综合故障诊断实训</w:t>
            </w:r>
          </w:p>
        </w:tc>
        <w:tc>
          <w:tcPr>
            <w:tcW w:w="539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color w:val="auto"/>
                <w:sz w:val="21"/>
                <w:szCs w:val="21"/>
              </w:rPr>
              <w:t>在相关课程的基础上，</w:t>
            </w:r>
            <w:r>
              <w:rPr>
                <w:rFonts w:hint="eastAsia"/>
                <w:color w:val="auto"/>
                <w:sz w:val="21"/>
                <w:szCs w:val="21"/>
                <w:lang w:val="en-US" w:eastAsia="zh-CN"/>
              </w:rPr>
              <w:t>综合训练使用维修设备、工量具对商用车柴油机机械系统、柴油电控系统、车身控制系统等的测量</w:t>
            </w:r>
            <w:r>
              <w:rPr>
                <w:rFonts w:hint="eastAsia"/>
                <w:color w:val="auto"/>
                <w:sz w:val="21"/>
                <w:szCs w:val="21"/>
              </w:rPr>
              <w:t>；能分析汽车综合的故障，能够诊断与排除汽车的综合故障。</w:t>
            </w: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val="en-US" w:eastAsia="zh-CN"/>
              </w:rPr>
              <w:t>30</w:t>
            </w:r>
          </w:p>
        </w:tc>
      </w:tr>
    </w:tbl>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color w:val="auto"/>
          <w:sz w:val="28"/>
          <w:szCs w:val="28"/>
          <w:lang w:val="en-US" w:eastAsia="zh-CN"/>
        </w:rPr>
      </w:pPr>
      <w:bookmarkStart w:id="75" w:name="_Toc12264"/>
      <w:bookmarkStart w:id="76" w:name="_Toc20132"/>
      <w:bookmarkStart w:id="77" w:name="_Toc10733"/>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10</w:t>
      </w:r>
      <w:r>
        <w:rPr>
          <w:rFonts w:hint="eastAsia" w:ascii="仿宋_GB2312" w:hAnsi="仿宋_GB2312" w:eastAsia="仿宋_GB2312" w:cs="仿宋_GB2312"/>
          <w:color w:val="auto"/>
          <w:sz w:val="21"/>
          <w:szCs w:val="21"/>
        </w:rPr>
        <w:t xml:space="preserve">  </w:t>
      </w:r>
      <w:r>
        <w:rPr>
          <w:rFonts w:hint="eastAsia" w:ascii="仿宋_GB2312" w:hAnsi="仿宋_GB2312" w:cs="仿宋_GB2312"/>
          <w:color w:val="auto"/>
          <w:sz w:val="21"/>
          <w:szCs w:val="21"/>
          <w:lang w:val="en-US" w:eastAsia="zh-CN"/>
        </w:rPr>
        <w:t>综合实训</w:t>
      </w:r>
      <w:r>
        <w:rPr>
          <w:rFonts w:hint="eastAsia" w:ascii="仿宋_GB2312" w:hAnsi="仿宋_GB2312" w:eastAsia="仿宋_GB2312" w:cs="仿宋_GB2312"/>
          <w:color w:val="auto"/>
          <w:sz w:val="21"/>
          <w:szCs w:val="21"/>
        </w:rPr>
        <w:t>课程一览表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cs="仿宋_GB2312"/>
          <w:color w:val="auto"/>
          <w:sz w:val="28"/>
          <w:szCs w:val="28"/>
          <w:lang w:val="en-US" w:eastAsia="zh-CN"/>
        </w:rPr>
        <w:t>（5）</w:t>
      </w:r>
      <w:bookmarkEnd w:id="75"/>
      <w:bookmarkEnd w:id="76"/>
      <w:bookmarkEnd w:id="77"/>
      <w:r>
        <w:rPr>
          <w:rFonts w:hint="eastAsia" w:ascii="仿宋_GB2312" w:hAnsi="仿宋_GB2312" w:cs="仿宋_GB2312"/>
          <w:color w:val="auto"/>
          <w:sz w:val="28"/>
          <w:szCs w:val="28"/>
          <w:lang w:val="en-US" w:eastAsia="zh-CN"/>
        </w:rPr>
        <w:t>专业实践课程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color w:val="auto"/>
          <w:sz w:val="28"/>
          <w:szCs w:val="28"/>
        </w:rPr>
      </w:pPr>
      <w:r>
        <w:rPr>
          <w:rFonts w:hint="eastAsia"/>
          <w:color w:val="auto"/>
          <w:sz w:val="28"/>
          <w:szCs w:val="28"/>
          <w:lang w:val="en-US" w:eastAsia="zh-CN"/>
        </w:rPr>
        <w:t>①</w:t>
      </w:r>
      <w:r>
        <w:rPr>
          <w:rFonts w:hint="eastAsia"/>
          <w:color w:val="auto"/>
          <w:sz w:val="28"/>
          <w:szCs w:val="28"/>
        </w:rPr>
        <w:t>专业（综合）实训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color w:val="auto"/>
          <w:sz w:val="28"/>
          <w:szCs w:val="28"/>
        </w:rPr>
      </w:pPr>
      <w:r>
        <w:rPr>
          <w:rFonts w:hint="eastAsia"/>
          <w:color w:val="auto"/>
          <w:sz w:val="28"/>
          <w:szCs w:val="28"/>
        </w:rPr>
        <w:t>专业（综合）实训以提升汽车运用与维修专业学生的综合职业能力为教学目标，根据</w:t>
      </w:r>
      <w:r>
        <w:rPr>
          <w:rFonts w:hint="eastAsia"/>
          <w:color w:val="auto"/>
          <w:sz w:val="28"/>
          <w:szCs w:val="28"/>
          <w:lang w:val="en-US" w:eastAsia="zh-CN"/>
        </w:rPr>
        <w:t>汽车</w:t>
      </w:r>
      <w:r>
        <w:rPr>
          <w:rFonts w:hint="eastAsia"/>
          <w:color w:val="auto"/>
          <w:sz w:val="28"/>
          <w:szCs w:val="28"/>
        </w:rPr>
        <w:t>机修方向</w:t>
      </w:r>
      <w:r>
        <w:rPr>
          <w:rFonts w:hint="eastAsia"/>
          <w:color w:val="auto"/>
          <w:sz w:val="28"/>
          <w:szCs w:val="28"/>
          <w:lang w:val="en-US" w:eastAsia="zh-CN"/>
        </w:rPr>
        <w:t>和商用车维修方向</w:t>
      </w:r>
      <w:r>
        <w:rPr>
          <w:rFonts w:hint="eastAsia"/>
          <w:color w:val="auto"/>
          <w:sz w:val="28"/>
          <w:szCs w:val="28"/>
        </w:rPr>
        <w:t>的具体培养目标，通过与汽修企业合作，共同开发多种形式的实战实训项目。结合专业教学的实际需求，以工学结合的形式进行合理的设置和排布，在校内外灵活开展能够提升学生的实战能力、积累经验以及提升实操能力的项目，提高学生的动手能力，提升综合职业素养。通过专业（综合）实训中多种形式项目的实施，积极探索本专业的落地实施途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color w:val="auto"/>
          <w:sz w:val="28"/>
          <w:szCs w:val="28"/>
        </w:rPr>
      </w:pPr>
      <w:r>
        <w:rPr>
          <w:rFonts w:hint="eastAsia"/>
          <w:color w:val="auto"/>
          <w:sz w:val="28"/>
          <w:szCs w:val="28"/>
          <w:lang w:val="en-US" w:eastAsia="zh-CN"/>
        </w:rPr>
        <w:t>②</w:t>
      </w:r>
      <w:r>
        <w:rPr>
          <w:rFonts w:hint="eastAsia"/>
          <w:color w:val="auto"/>
          <w:sz w:val="28"/>
          <w:szCs w:val="28"/>
        </w:rPr>
        <w:t>专业（毕业）实习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color w:val="auto"/>
          <w:sz w:val="28"/>
          <w:szCs w:val="28"/>
        </w:rPr>
      </w:pPr>
      <w:r>
        <w:rPr>
          <w:rFonts w:hint="eastAsia"/>
          <w:color w:val="auto"/>
          <w:sz w:val="28"/>
          <w:szCs w:val="28"/>
        </w:rPr>
        <w:t>顶岗实习是学生职业技能和职业岗位工作能力培养的重要实践教学环节，本专业严格按教育部的《中等职业学校学生实习管理办法》的有关要求，让学生以“准职业人”的身份参与企业的工作。通过企业顶岗实习，学生能更深入地了解企业相关岗位的工作任务与职责权限，能够用所学知识和技能解决实际工作问题，学会与人相处与合作，树立正确的劳动观念和就业观。</w:t>
      </w:r>
    </w:p>
    <w:p>
      <w:pPr>
        <w:pStyle w:val="2"/>
        <w:pageBreakBefore w:val="0"/>
        <w:widowControl w:val="0"/>
        <w:kinsoku/>
        <w:wordWrap/>
        <w:overflowPunct/>
        <w:topLinePunct w:val="0"/>
        <w:autoSpaceDE/>
        <w:autoSpaceDN/>
        <w:bidi w:val="0"/>
        <w:adjustRightInd/>
        <w:snapToGrid/>
        <w:spacing w:before="0" w:beforeLines="0" w:after="0" w:afterLines="0" w:line="560" w:lineRule="exact"/>
        <w:ind w:right="0" w:rightChars="0" w:firstLine="643" w:firstLineChars="200"/>
        <w:textAlignment w:val="auto"/>
        <w:rPr>
          <w:rFonts w:hint="eastAsia" w:ascii="仿宋_GB2312" w:hAnsi="仿宋_GB2312" w:eastAsia="仿宋_GB2312" w:cs="仿宋_GB2312"/>
          <w:color w:val="auto"/>
          <w:sz w:val="32"/>
          <w:szCs w:val="32"/>
          <w:lang w:val="en-US" w:eastAsia="zh-CN"/>
        </w:rPr>
      </w:pPr>
      <w:bookmarkStart w:id="78" w:name="_Toc22498"/>
      <w:bookmarkStart w:id="79" w:name="_Toc16687"/>
      <w:bookmarkStart w:id="80" w:name="_Toc17259"/>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教学进程总体安排</w:t>
      </w:r>
      <w:bookmarkEnd w:id="78"/>
      <w:bookmarkEnd w:id="79"/>
      <w:bookmarkEnd w:id="80"/>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textAlignment w:val="auto"/>
        <w:rPr>
          <w:rFonts w:hint="eastAsia" w:ascii="仿宋_GB2312" w:hAnsi="仿宋_GB2312" w:eastAsia="仿宋_GB2312" w:cs="仿宋_GB2312"/>
          <w:color w:val="auto"/>
          <w:sz w:val="28"/>
          <w:szCs w:val="28"/>
          <w:lang w:val="en-US"/>
        </w:rPr>
      </w:pPr>
      <w:bookmarkStart w:id="81" w:name="_Toc13699"/>
      <w:bookmarkStart w:id="82" w:name="_Toc31447"/>
      <w:bookmarkStart w:id="83" w:name="_Toc3408"/>
      <w:r>
        <w:rPr>
          <w:rFonts w:hint="eastAsia" w:ascii="仿宋_GB2312" w:hAnsi="仿宋_GB2312" w:eastAsia="仿宋_GB2312" w:cs="仿宋_GB2312"/>
          <w:color w:val="auto"/>
          <w:sz w:val="28"/>
          <w:szCs w:val="28"/>
        </w:rPr>
        <w:t>（一）基本</w:t>
      </w:r>
      <w:r>
        <w:rPr>
          <w:rFonts w:hint="eastAsia" w:ascii="仿宋_GB2312" w:hAnsi="仿宋_GB2312" w:eastAsia="仿宋_GB2312" w:cs="仿宋_GB2312"/>
          <w:color w:val="auto"/>
          <w:sz w:val="28"/>
          <w:szCs w:val="28"/>
          <w:lang w:val="en-US" w:eastAsia="zh-CN"/>
        </w:rPr>
        <w:t>要求</w:t>
      </w:r>
      <w:bookmarkEnd w:id="81"/>
      <w:bookmarkEnd w:id="82"/>
      <w:bookmarkEnd w:id="83"/>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color w:val="auto"/>
          <w:sz w:val="28"/>
          <w:szCs w:val="28"/>
        </w:rPr>
      </w:pPr>
      <w:r>
        <w:rPr>
          <w:rFonts w:hint="eastAsia"/>
          <w:color w:val="auto"/>
          <w:sz w:val="28"/>
          <w:szCs w:val="28"/>
        </w:rPr>
        <w:t>每学年为52周，其中教学时间40周（含复习考试），有效教学周为</w:t>
      </w:r>
      <w:r>
        <w:rPr>
          <w:rFonts w:hint="eastAsia"/>
          <w:color w:val="auto"/>
          <w:sz w:val="28"/>
          <w:szCs w:val="28"/>
          <w:lang w:val="en-US" w:eastAsia="zh-CN"/>
        </w:rPr>
        <w:t>36</w:t>
      </w:r>
      <w:r>
        <w:rPr>
          <w:rFonts w:hint="eastAsia"/>
          <w:color w:val="auto"/>
          <w:sz w:val="28"/>
          <w:szCs w:val="28"/>
        </w:rPr>
        <w:t>周，累计假期12周，周学时</w:t>
      </w:r>
      <w:r>
        <w:rPr>
          <w:rFonts w:hint="eastAsia"/>
          <w:color w:val="auto"/>
          <w:sz w:val="28"/>
          <w:szCs w:val="28"/>
          <w:highlight w:val="none"/>
        </w:rPr>
        <w:t>为3</w:t>
      </w:r>
      <w:r>
        <w:rPr>
          <w:rFonts w:hint="eastAsia"/>
          <w:color w:val="auto"/>
          <w:sz w:val="28"/>
          <w:szCs w:val="28"/>
          <w:highlight w:val="none"/>
          <w:lang w:val="en-US" w:eastAsia="zh-CN"/>
        </w:rPr>
        <w:t>0</w:t>
      </w:r>
      <w:r>
        <w:rPr>
          <w:rFonts w:hint="eastAsia"/>
          <w:color w:val="auto"/>
          <w:sz w:val="28"/>
          <w:szCs w:val="28"/>
          <w:highlight w:val="none"/>
        </w:rPr>
        <w:t>学时，顶岗实习按每周30小时（1小时折合1学时）安排，3年总学时数为</w:t>
      </w:r>
      <w:r>
        <w:rPr>
          <w:rFonts w:hint="eastAsia"/>
          <w:color w:val="auto"/>
          <w:sz w:val="28"/>
          <w:szCs w:val="28"/>
          <w:highlight w:val="none"/>
          <w:lang w:val="en-US" w:eastAsia="zh-CN"/>
        </w:rPr>
        <w:t>3408</w:t>
      </w:r>
      <w:r>
        <w:rPr>
          <w:rFonts w:hint="eastAsia"/>
          <w:color w:val="auto"/>
          <w:sz w:val="28"/>
          <w:szCs w:val="28"/>
          <w:highlight w:val="none"/>
        </w:rPr>
        <w:t>。公共基础课学时（公共基础必修课</w:t>
      </w:r>
      <w:r>
        <w:rPr>
          <w:rFonts w:hint="eastAsia"/>
          <w:color w:val="auto"/>
          <w:sz w:val="28"/>
          <w:szCs w:val="28"/>
          <w:highlight w:val="none"/>
          <w:lang w:val="en-US" w:eastAsia="zh-CN"/>
        </w:rPr>
        <w:t>1116</w:t>
      </w:r>
      <w:r>
        <w:rPr>
          <w:rFonts w:hint="eastAsia"/>
          <w:color w:val="auto"/>
          <w:sz w:val="28"/>
          <w:szCs w:val="28"/>
          <w:highlight w:val="none"/>
        </w:rPr>
        <w:t>学时，公共基础限定选修课</w:t>
      </w:r>
      <w:r>
        <w:rPr>
          <w:rFonts w:hint="eastAsia"/>
          <w:color w:val="auto"/>
          <w:sz w:val="28"/>
          <w:szCs w:val="28"/>
          <w:highlight w:val="none"/>
          <w:lang w:val="en-US" w:eastAsia="zh-CN"/>
        </w:rPr>
        <w:t>252</w:t>
      </w:r>
      <w:r>
        <w:rPr>
          <w:rFonts w:hint="eastAsia"/>
          <w:color w:val="auto"/>
          <w:sz w:val="28"/>
          <w:szCs w:val="28"/>
          <w:highlight w:val="none"/>
        </w:rPr>
        <w:t>学时）约占总学时的</w:t>
      </w:r>
      <w:r>
        <w:rPr>
          <w:rFonts w:hint="eastAsia"/>
          <w:color w:val="auto"/>
          <w:sz w:val="28"/>
          <w:szCs w:val="28"/>
          <w:highlight w:val="none"/>
          <w:lang w:val="en-US" w:eastAsia="zh-CN"/>
        </w:rPr>
        <w:t>40</w:t>
      </w:r>
      <w:r>
        <w:rPr>
          <w:rFonts w:hint="eastAsia"/>
          <w:color w:val="auto"/>
          <w:sz w:val="28"/>
          <w:szCs w:val="28"/>
          <w:highlight w:val="none"/>
        </w:rPr>
        <w:t>%。专业课学时（专业核心课</w:t>
      </w:r>
      <w:r>
        <w:rPr>
          <w:rFonts w:hint="eastAsia"/>
          <w:color w:val="auto"/>
          <w:sz w:val="28"/>
          <w:szCs w:val="28"/>
          <w:highlight w:val="none"/>
          <w:lang w:val="en-US" w:eastAsia="zh-CN"/>
        </w:rPr>
        <w:t>738</w:t>
      </w:r>
      <w:r>
        <w:rPr>
          <w:rFonts w:hint="eastAsia"/>
          <w:color w:val="auto"/>
          <w:sz w:val="28"/>
          <w:szCs w:val="28"/>
          <w:highlight w:val="none"/>
        </w:rPr>
        <w:t>学时，专业方向课</w:t>
      </w:r>
      <w:r>
        <w:rPr>
          <w:rFonts w:hint="eastAsia"/>
          <w:color w:val="auto"/>
          <w:sz w:val="28"/>
          <w:szCs w:val="28"/>
          <w:highlight w:val="none"/>
          <w:lang w:val="en-US" w:eastAsia="zh-CN"/>
        </w:rPr>
        <w:t>534</w:t>
      </w:r>
      <w:r>
        <w:rPr>
          <w:rFonts w:hint="eastAsia"/>
          <w:color w:val="auto"/>
          <w:sz w:val="28"/>
          <w:szCs w:val="28"/>
          <w:highlight w:val="none"/>
        </w:rPr>
        <w:t>学时，专业选修课</w:t>
      </w:r>
      <w:r>
        <w:rPr>
          <w:rFonts w:hint="eastAsia"/>
          <w:color w:val="auto"/>
          <w:sz w:val="28"/>
          <w:szCs w:val="28"/>
          <w:highlight w:val="none"/>
          <w:lang w:val="en-US" w:eastAsia="zh-CN"/>
        </w:rPr>
        <w:t>126</w:t>
      </w:r>
      <w:r>
        <w:rPr>
          <w:rFonts w:hint="eastAsia"/>
          <w:color w:val="auto"/>
          <w:sz w:val="28"/>
          <w:szCs w:val="28"/>
          <w:highlight w:val="none"/>
        </w:rPr>
        <w:t>学时，顶岗实习</w:t>
      </w:r>
      <w:r>
        <w:rPr>
          <w:rFonts w:hint="eastAsia"/>
          <w:color w:val="auto"/>
          <w:sz w:val="28"/>
          <w:szCs w:val="28"/>
          <w:highlight w:val="none"/>
          <w:lang w:val="en-US" w:eastAsia="zh-CN"/>
        </w:rPr>
        <w:t>600</w:t>
      </w:r>
      <w:r>
        <w:rPr>
          <w:rFonts w:hint="eastAsia"/>
          <w:color w:val="auto"/>
          <w:sz w:val="28"/>
          <w:szCs w:val="28"/>
          <w:highlight w:val="none"/>
        </w:rPr>
        <w:t>学时）约占总学时的</w:t>
      </w:r>
      <w:r>
        <w:rPr>
          <w:rFonts w:hint="eastAsia"/>
          <w:color w:val="auto"/>
          <w:sz w:val="28"/>
          <w:szCs w:val="28"/>
          <w:highlight w:val="none"/>
          <w:lang w:val="en-US" w:eastAsia="zh-CN"/>
        </w:rPr>
        <w:t>60</w:t>
      </w:r>
      <w:r>
        <w:rPr>
          <w:rFonts w:hint="eastAsia"/>
          <w:color w:val="auto"/>
          <w:sz w:val="28"/>
          <w:szCs w:val="28"/>
          <w:highlight w:val="none"/>
        </w:rPr>
        <w:t>%。鼓励将学生取得的行业企业认可度高</w:t>
      </w:r>
      <w:r>
        <w:rPr>
          <w:rFonts w:hint="eastAsia"/>
          <w:color w:val="auto"/>
          <w:sz w:val="28"/>
          <w:szCs w:val="28"/>
        </w:rPr>
        <w:t>的职业技能等级证书或“1+X”能力认证证书，按一定规则折算为学历教育相应学分。</w:t>
      </w:r>
      <w:bookmarkStart w:id="84" w:name="_Toc19714"/>
      <w:bookmarkStart w:id="85" w:name="_Toc19210"/>
      <w:bookmarkStart w:id="86" w:name="_Toc29230"/>
    </w:p>
    <w:p>
      <w:pPr>
        <w:pStyle w:val="3"/>
        <w:pageBreakBefore w:val="0"/>
        <w:widowControl w:val="0"/>
        <w:kinsoku/>
        <w:wordWrap/>
        <w:overflowPunct/>
        <w:topLinePunct w:val="0"/>
        <w:autoSpaceDE/>
        <w:autoSpaceDN/>
        <w:bidi w:val="0"/>
        <w:adjustRightInd/>
        <w:snapToGrid/>
        <w:spacing w:before="0" w:beforeLines="0" w:after="0" w:afterLines="0" w:line="560" w:lineRule="exact"/>
        <w:ind w:firstLine="562" w:firstLineChars="200"/>
        <w:textAlignment w:val="auto"/>
        <w:rPr>
          <w:rFonts w:hint="eastAsia"/>
          <w:color w:val="auto"/>
        </w:rPr>
      </w:pPr>
      <w:r>
        <w:rPr>
          <w:rFonts w:hint="eastAsia"/>
          <w:color w:val="auto"/>
        </w:rPr>
        <w:t>（二）教学</w:t>
      </w:r>
      <w:r>
        <w:rPr>
          <w:rFonts w:hint="eastAsia"/>
          <w:color w:val="auto"/>
          <w:lang w:val="en-US" w:eastAsia="zh-CN"/>
        </w:rPr>
        <w:t>进度</w:t>
      </w:r>
      <w:r>
        <w:rPr>
          <w:rFonts w:hint="eastAsia"/>
          <w:color w:val="auto"/>
        </w:rPr>
        <w:t>安排</w:t>
      </w:r>
      <w:bookmarkEnd w:id="84"/>
      <w:bookmarkEnd w:id="85"/>
      <w:bookmarkEnd w:id="86"/>
    </w:p>
    <w:p>
      <w:pPr>
        <w:pageBreakBefore w:val="0"/>
        <w:widowControl w:val="0"/>
        <w:kinsoku/>
        <w:wordWrap/>
        <w:overflowPunct/>
        <w:topLinePunct w:val="0"/>
        <w:autoSpaceDE/>
        <w:autoSpaceDN/>
        <w:bidi w:val="0"/>
        <w:adjustRightInd/>
        <w:snapToGrid/>
        <w:spacing w:line="560" w:lineRule="exact"/>
        <w:textAlignment w:val="auto"/>
        <w:rPr>
          <w:rFonts w:hint="eastAsia"/>
          <w:color w:val="auto"/>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bookmarkStart w:id="87" w:name="bookmark73"/>
      <w:r>
        <w:rPr>
          <w:rFonts w:hint="eastAsia" w:ascii="仿宋_GB2312" w:hAnsi="仿宋_GB2312" w:eastAsia="仿宋_GB2312" w:cs="仿宋_GB2312"/>
          <w:color w:val="auto"/>
          <w:sz w:val="21"/>
          <w:szCs w:val="21"/>
          <w:lang w:val="en-US" w:eastAsia="zh-CN"/>
        </w:rPr>
        <w:object>
          <v:shape id="_x0000_i1026" o:spt="75" type="#_x0000_t75" style="height:639.45pt;width:491.7pt;" o:ole="t" filled="f" o:preferrelative="f" stroked="f" coordsize="21600,21600">
            <v:path/>
            <v:fill on="f" focussize="0,0"/>
            <v:stroke on="f"/>
            <v:imagedata r:id="rId12" o:title=""/>
            <o:lock v:ext="edit" aspectratio="f"/>
            <w10:wrap type="none"/>
            <w10:anchorlock/>
          </v:shape>
          <o:OLEObject Type="Embed" ProgID="Excel.Sheet.12" ShapeID="_x0000_i1026" DrawAspect="Content" ObjectID="_1468075726" r:id="rId11">
            <o:LockedField>false</o:LockedField>
          </o:OLEObject>
        </w:object>
      </w:r>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11</w:t>
      </w:r>
      <w:r>
        <w:rPr>
          <w:rFonts w:hint="eastAsia" w:ascii="仿宋_GB2312" w:hAnsi="仿宋_GB2312" w:eastAsia="仿宋_GB2312" w:cs="仿宋_GB2312"/>
          <w:color w:val="auto"/>
          <w:sz w:val="21"/>
          <w:szCs w:val="21"/>
        </w:rPr>
        <w:t xml:space="preserve">  教学安排建议表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学校实行学分制，18学时为1学分。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入学教育（军训）</w:t>
      </w:r>
      <w:r>
        <w:rPr>
          <w:rFonts w:hint="eastAsia" w:ascii="仿宋_GB2312" w:hAnsi="仿宋_GB2312" w:eastAsia="仿宋_GB2312" w:cs="仿宋_GB2312"/>
          <w:color w:val="auto"/>
          <w:sz w:val="28"/>
          <w:szCs w:val="28"/>
          <w:lang w:val="en-US" w:eastAsia="zh-CN"/>
        </w:rPr>
        <w:t>1周2学分和认知</w:t>
      </w:r>
      <w:r>
        <w:rPr>
          <w:rFonts w:hint="eastAsia" w:ascii="仿宋_GB2312" w:hAnsi="仿宋_GB2312" w:eastAsia="仿宋_GB2312" w:cs="仿宋_GB2312"/>
          <w:color w:val="auto"/>
          <w:sz w:val="28"/>
          <w:szCs w:val="28"/>
        </w:rPr>
        <w:t>实习</w:t>
      </w:r>
      <w:r>
        <w:rPr>
          <w:rFonts w:hint="eastAsia" w:ascii="仿宋_GB2312" w:hAnsi="仿宋_GB2312" w:eastAsia="仿宋_GB2312" w:cs="仿宋_GB2312"/>
          <w:color w:val="auto"/>
          <w:sz w:val="28"/>
          <w:szCs w:val="28"/>
          <w:lang w:val="en-US" w:eastAsia="zh-CN"/>
        </w:rPr>
        <w:t>2天1学分在第一学期</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跟岗实习1周在第3学期2学分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顶岗实习</w:t>
      </w:r>
      <w:r>
        <w:rPr>
          <w:rFonts w:hint="eastAsia" w:ascii="仿宋_GB2312" w:hAnsi="仿宋_GB2312" w:eastAsia="仿宋_GB2312" w:cs="仿宋_GB2312"/>
          <w:color w:val="auto"/>
          <w:sz w:val="28"/>
          <w:szCs w:val="28"/>
          <w:lang w:val="en-US" w:eastAsia="zh-CN"/>
        </w:rPr>
        <w:t>6个月在第6学期</w:t>
      </w:r>
      <w:r>
        <w:rPr>
          <w:rFonts w:hint="eastAsia" w:ascii="仿宋_GB2312" w:hAnsi="仿宋_GB2312" w:eastAsia="仿宋_GB2312" w:cs="仿宋_GB2312"/>
          <w:color w:val="auto"/>
          <w:sz w:val="28"/>
          <w:szCs w:val="28"/>
        </w:rPr>
        <w:t>总学分</w:t>
      </w:r>
      <w:r>
        <w:rPr>
          <w:rFonts w:hint="eastAsia" w:ascii="仿宋_GB2312" w:hAnsi="仿宋_GB2312" w:eastAsia="仿宋_GB2312" w:cs="仿宋_GB2312"/>
          <w:color w:val="auto"/>
          <w:sz w:val="28"/>
          <w:szCs w:val="28"/>
          <w:lang w:val="en-US" w:eastAsia="zh-CN"/>
        </w:rPr>
        <w:t>30学分；专业方向综合实训1周4学分在第5学期末</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color w:val="auto"/>
          <w:sz w:val="21"/>
          <w:szCs w:val="21"/>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取得职业技能等级证书或“1+X”能力认证证书，参加国际性</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全国性</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省部级</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地市级</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行业内的职业技能竞赛以及各种知识、文艺、体育等竞赛中获得奖励折合成学分</w:t>
      </w:r>
      <w:r>
        <w:rPr>
          <w:rFonts w:hint="eastAsia"/>
          <w:color w:val="auto"/>
          <w:sz w:val="21"/>
          <w:szCs w:val="21"/>
        </w:rPr>
        <w:t>。</w:t>
      </w:r>
    </w:p>
    <w:p>
      <w:pPr>
        <w:pStyle w:val="2"/>
        <w:pageBreakBefore w:val="0"/>
        <w:widowControl w:val="0"/>
        <w:kinsoku/>
        <w:wordWrap/>
        <w:overflowPunct/>
        <w:topLinePunct w:val="0"/>
        <w:autoSpaceDE/>
        <w:autoSpaceDN/>
        <w:bidi w:val="0"/>
        <w:adjustRightInd/>
        <w:snapToGrid/>
        <w:spacing w:before="0" w:beforeLines="0" w:after="0" w:afterLines="0" w:line="560" w:lineRule="exact"/>
        <w:ind w:right="0" w:rightChars="0" w:firstLine="643" w:firstLineChars="200"/>
        <w:textAlignment w:val="auto"/>
        <w:rPr>
          <w:rFonts w:hint="eastAsia" w:ascii="仿宋_GB2312" w:hAnsi="仿宋_GB2312" w:eastAsia="仿宋_GB2312" w:cs="仿宋_GB2312"/>
          <w:color w:val="auto"/>
          <w:sz w:val="32"/>
          <w:szCs w:val="32"/>
          <w:lang w:val="en-US" w:eastAsia="zh-CN"/>
        </w:rPr>
      </w:pPr>
      <w:bookmarkStart w:id="88" w:name="_Toc2414"/>
      <w:bookmarkStart w:id="89" w:name="_Toc27101"/>
      <w:bookmarkStart w:id="90" w:name="_Toc8584"/>
      <w:r>
        <w:rPr>
          <w:rFonts w:hint="eastAsia" w:ascii="仿宋_GB2312" w:hAnsi="仿宋_GB2312" w:eastAsia="仿宋_GB2312" w:cs="仿宋_GB2312"/>
          <w:color w:val="auto"/>
          <w:sz w:val="32"/>
          <w:szCs w:val="32"/>
          <w:lang w:val="en-US" w:eastAsia="zh-CN"/>
        </w:rPr>
        <w:t>八</w:t>
      </w:r>
      <w:bookmarkEnd w:id="87"/>
      <w:r>
        <w:rPr>
          <w:rFonts w:hint="eastAsia" w:ascii="仿宋_GB2312" w:hAnsi="仿宋_GB2312" w:eastAsia="仿宋_GB2312" w:cs="仿宋_GB2312"/>
          <w:color w:val="auto"/>
          <w:sz w:val="32"/>
          <w:szCs w:val="32"/>
          <w:lang w:val="en-US" w:eastAsia="zh-CN"/>
        </w:rPr>
        <w:t>、实施保障</w:t>
      </w:r>
      <w:bookmarkEnd w:id="88"/>
      <w:bookmarkEnd w:id="89"/>
      <w:bookmarkEnd w:id="90"/>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textAlignment w:val="auto"/>
        <w:rPr>
          <w:rFonts w:hint="eastAsia" w:ascii="仿宋_GB2312" w:hAnsi="仿宋_GB2312" w:eastAsia="仿宋_GB2312" w:cs="仿宋_GB2312"/>
          <w:color w:val="auto"/>
          <w:sz w:val="28"/>
          <w:szCs w:val="28"/>
          <w:lang w:val="en-US" w:eastAsia="zh-CN"/>
        </w:rPr>
      </w:pPr>
      <w:bookmarkStart w:id="91" w:name="_Toc18651"/>
      <w:bookmarkStart w:id="92" w:name="_Toc26340"/>
      <w:bookmarkStart w:id="93" w:name="_Toc29368"/>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val="zh-CN" w:eastAsia="zh-CN"/>
        </w:rPr>
        <w:t>师</w:t>
      </w:r>
      <w:r>
        <w:rPr>
          <w:rFonts w:hint="eastAsia" w:ascii="仿宋_GB2312" w:hAnsi="仿宋_GB2312" w:eastAsia="仿宋_GB2312" w:cs="仿宋_GB2312"/>
          <w:color w:val="auto"/>
          <w:sz w:val="28"/>
          <w:szCs w:val="28"/>
          <w:lang w:val="en-US" w:eastAsia="zh-CN"/>
        </w:rPr>
        <w:t>资队伍</w:t>
      </w:r>
      <w:bookmarkEnd w:id="91"/>
      <w:bookmarkEnd w:id="92"/>
      <w:bookmarkEnd w:id="93"/>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bookmarkStart w:id="94" w:name="bookmark74"/>
      <w:bookmarkEnd w:id="94"/>
      <w:r>
        <w:rPr>
          <w:rFonts w:hint="eastAsia" w:ascii="仿宋_GB2312" w:hAnsi="仿宋_GB2312" w:eastAsia="仿宋_GB2312" w:cs="仿宋_GB2312"/>
          <w:color w:val="auto"/>
          <w:sz w:val="28"/>
          <w:szCs w:val="28"/>
        </w:rPr>
        <w:t>根据教育部颁布的《中等职业学校教师专业标准》和《中等职业学校设置标准》的有关规定，进行教师队伍建设，合理配置教师资源。专任教师的学历职称结构应合理，</w:t>
      </w:r>
      <w:r>
        <w:rPr>
          <w:rFonts w:hint="eastAsia" w:ascii="仿宋_GB2312" w:hAnsi="仿宋_GB2312" w:eastAsia="仿宋_GB2312" w:cs="仿宋_GB2312"/>
          <w:color w:val="auto"/>
          <w:sz w:val="28"/>
          <w:szCs w:val="28"/>
          <w:lang w:val="en-US" w:eastAsia="zh-CN"/>
        </w:rPr>
        <w:t>专任教师师生比不低于1:20，</w:t>
      </w:r>
      <w:r>
        <w:rPr>
          <w:rFonts w:hint="eastAsia" w:ascii="仿宋_GB2312" w:hAnsi="仿宋_GB2312" w:eastAsia="仿宋_GB2312" w:cs="仿宋_GB2312"/>
          <w:color w:val="auto"/>
          <w:sz w:val="28"/>
          <w:szCs w:val="28"/>
        </w:rPr>
        <w:t>其中</w:t>
      </w:r>
      <w:r>
        <w:rPr>
          <w:rFonts w:hint="eastAsia" w:ascii="仿宋_GB2312" w:hAnsi="仿宋_GB2312" w:eastAsia="仿宋_GB2312" w:cs="仿宋_GB2312"/>
          <w:color w:val="auto"/>
          <w:sz w:val="28"/>
          <w:szCs w:val="28"/>
          <w:lang w:val="en-US" w:eastAsia="zh-CN"/>
        </w:rPr>
        <w:t>双师型教师占专业课教师比例</w:t>
      </w:r>
      <w:r>
        <w:rPr>
          <w:rFonts w:hint="eastAsia" w:ascii="仿宋_GB2312" w:hAnsi="仿宋_GB2312" w:eastAsia="仿宋_GB2312" w:cs="仿宋_GB2312"/>
          <w:color w:val="auto"/>
          <w:sz w:val="28"/>
          <w:szCs w:val="28"/>
        </w:rPr>
        <w:t>不低于</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0%。建立双师教学团队，应有业务水平较高的专业带头人。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专任教师应具有中等职业学校教师资格证书和相关的专业资格证书，有良好的师德，对本专业课程有较为全面的了解，对汽车维修专业课程有较为全面的了解，熟悉教学规律；了解和关注汽车制造与维修行业动态与车辆技术发展，有汽车维修企业车辆一般维修岗位工作经验或参加汽车维修生产实践的经历，适应产业行业发展需求，熟悉企业情况，积极开展课程教学改革。</w:t>
      </w:r>
      <w:r>
        <w:rPr>
          <w:rFonts w:hint="eastAsia" w:ascii="仿宋_GB2312" w:hAnsi="仿宋_GB2312" w:eastAsia="仿宋_GB2312" w:cs="仿宋_GB2312"/>
          <w:color w:val="auto"/>
          <w:sz w:val="28"/>
          <w:szCs w:val="28"/>
          <w:lang w:val="en-US" w:eastAsia="zh-CN"/>
        </w:rPr>
        <w:t>专任教师应主动前往汽车</w:t>
      </w:r>
      <w:r>
        <w:rPr>
          <w:rFonts w:hint="eastAsia" w:ascii="仿宋_GB2312" w:hAnsi="仿宋_GB2312" w:eastAsia="仿宋_GB2312" w:cs="仿宋_GB2312"/>
          <w:color w:val="auto"/>
          <w:sz w:val="28"/>
          <w:szCs w:val="28"/>
          <w:lang w:val="en-US" w:eastAsia="en-US"/>
        </w:rPr>
        <w:t>4S</w:t>
      </w:r>
      <w:r>
        <w:rPr>
          <w:rFonts w:hint="eastAsia" w:ascii="仿宋_GB2312" w:hAnsi="仿宋_GB2312" w:eastAsia="仿宋_GB2312" w:cs="仿宋_GB2312"/>
          <w:color w:val="auto"/>
          <w:sz w:val="28"/>
          <w:szCs w:val="28"/>
          <w:lang w:val="en-US" w:eastAsia="zh-CN"/>
        </w:rPr>
        <w:t>店、汽车维修厂、汽车制造厂等行业、企业进行相应的专业 实践,专业课教师每5年的专业实践时间不少于6个月。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color w:val="auto"/>
          <w:sz w:val="28"/>
          <w:szCs w:val="28"/>
        </w:rPr>
        <w:t>兼职教师主要从相关企业的高技术技能人才中聘任，应具备良好的思想政治素质、职业道德和工匠精神、具有扎实的汽车运用与维修专业知识和丰富的实际工作经验，具有中级及以上相关专业职称</w:t>
      </w:r>
      <w:r>
        <w:rPr>
          <w:rFonts w:hint="eastAsia"/>
          <w:color w:val="auto"/>
          <w:sz w:val="28"/>
          <w:szCs w:val="28"/>
          <w:lang w:val="en-US" w:eastAsia="zh-CN"/>
        </w:rPr>
        <w:t>或</w:t>
      </w:r>
      <w:r>
        <w:rPr>
          <w:rFonts w:hint="eastAsia" w:ascii="仿宋_GB2312" w:hAnsi="仿宋_GB2312" w:eastAsia="仿宋_GB2312" w:cs="仿宋_GB2312"/>
          <w:color w:val="auto"/>
          <w:sz w:val="28"/>
          <w:szCs w:val="28"/>
        </w:rPr>
        <w:t>高等级技能证书</w:t>
      </w:r>
      <w:r>
        <w:rPr>
          <w:rFonts w:hint="eastAsia"/>
          <w:color w:val="auto"/>
          <w:sz w:val="28"/>
          <w:szCs w:val="28"/>
        </w:rPr>
        <w:t>，能承担专业课程教学、实习实训指导和学生职业发展规划等专业教学任务。</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textAlignment w:val="auto"/>
        <w:rPr>
          <w:rFonts w:hint="eastAsia" w:ascii="仿宋_GB2312" w:hAnsi="仿宋_GB2312" w:eastAsia="仿宋_GB2312" w:cs="仿宋_GB2312"/>
          <w:color w:val="auto"/>
          <w:sz w:val="28"/>
          <w:szCs w:val="28"/>
          <w:lang w:val="en-US" w:eastAsia="zh-CN"/>
        </w:rPr>
      </w:pPr>
      <w:bookmarkStart w:id="95" w:name="_Toc32444"/>
      <w:bookmarkStart w:id="96" w:name="_Toc29989"/>
      <w:bookmarkStart w:id="97" w:name="_Toc17009"/>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val="zh-CN" w:eastAsia="zh-CN"/>
        </w:rPr>
        <w:t>教</w:t>
      </w:r>
      <w:r>
        <w:rPr>
          <w:rFonts w:hint="eastAsia" w:ascii="仿宋_GB2312" w:hAnsi="仿宋_GB2312" w:eastAsia="仿宋_GB2312" w:cs="仿宋_GB2312"/>
          <w:color w:val="auto"/>
          <w:sz w:val="28"/>
          <w:szCs w:val="28"/>
          <w:lang w:val="en-US" w:eastAsia="zh-CN"/>
        </w:rPr>
        <w:t>学设施</w:t>
      </w:r>
      <w:bookmarkEnd w:id="95"/>
      <w:bookmarkEnd w:id="96"/>
      <w:bookmarkEnd w:id="97"/>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1.校内实践教学条件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校内实践教学条件按照完成专业学习领域核心课程的学习情境教学要求配置，每个场地满足一次性容纳40名学生进行基于行动导向的理论实践一体化教学的需要。专业核心课程的实践条件配置与要求见下表。</w:t>
      </w:r>
    </w:p>
    <w:tbl>
      <w:tblPr>
        <w:tblStyle w:val="17"/>
        <w:tblW w:w="96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32"/>
        <w:gridCol w:w="1222"/>
        <w:gridCol w:w="6182"/>
        <w:gridCol w:w="1714"/>
      </w:tblGrid>
      <w:tr>
        <w:tblPrEx>
          <w:shd w:val="clear" w:color="auto" w:fill="auto"/>
          <w:tblCellMar>
            <w:top w:w="15" w:type="dxa"/>
            <w:left w:w="15" w:type="dxa"/>
            <w:bottom w:w="15" w:type="dxa"/>
            <w:right w:w="15" w:type="dxa"/>
          </w:tblCellMar>
        </w:tblPrEx>
        <w:trPr>
          <w:trHeight w:val="285"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序号</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实训室名称</w:t>
            </w:r>
          </w:p>
        </w:tc>
        <w:tc>
          <w:tcPr>
            <w:tcW w:w="789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主要工具和设施设备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名称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数量（生均台套）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20"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汽车电工电子实训室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可进行并联电路；串联电路；电流实验；电压实验；电阻实 验；欧姆定律；短路和断路检查；二极管、三极管、继电器、 LED检测；整流电路；放大电路；继电器控制电路等实验</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汽车发动机构造与维修实训室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汽车起动充电机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汽车发动机解剖台架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发动机各系统示教板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发动机起动试验台架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汽车总成及拆装翻转台架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发动机拆装工具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发动机维修常用量具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3</w:t>
            </w:r>
          </w:p>
        </w:tc>
        <w:tc>
          <w:tcPr>
            <w:tcW w:w="1222" w:type="dxa"/>
            <w:vMerge w:val="restart"/>
            <w:tcBorders>
              <w:top w:val="single" w:color="000000" w:sz="4" w:space="0"/>
              <w:left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汽车底盘构造与维修实训室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汽车前置前驱传动系解剖实物台架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汽车前置后驱传动系解剖实物台架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各总成实物解剖教具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汽车前置前驱传动系实训台架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汽车前置后驱传动系实训台架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自动变速器实训台架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自动变速器总成</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自动变速器实物解剖教具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机械转向系及前桥实训台架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动力转向系及前桥实训台架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电控动力转向示教实训台架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电控悬架示教实训台架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汽车制动系（盘式制动器）实训台架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汽车制动系（鼓式制动器）实训台架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汽车ABS示教实训台架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汽车变速器举升机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轮胎扒胎机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轮胎动平衡机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汽车四轮定位仪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汽车底盘常用拆装工具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汽车底盘维修常用量具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汽车底盘拆装专用工具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4</w:t>
            </w:r>
          </w:p>
        </w:tc>
        <w:tc>
          <w:tcPr>
            <w:tcW w:w="1222" w:type="dxa"/>
            <w:vMerge w:val="restart"/>
            <w:tcBorders>
              <w:top w:val="single" w:color="000000" w:sz="4" w:space="0"/>
              <w:left w:val="single" w:color="auto"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汽车发动机电器与控制系统检修实训室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充电系统示教实训台架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起动系统示教实训台架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汽车起动机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汽车发电机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汽车起动机发电机试验台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发动机电控教学示教板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电控发动机实训台架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电控发动机传感器、执行器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汽缸压力表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燃油压力表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汽车故障电脑诊断仪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汽车专用示波器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汽车五气体废气分析仪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真空度检测仪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点火正时灯</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异响听诊器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喷射油嘴清洗机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红外测温仪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常用工具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汽车起动充电机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5</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汽车车身电气设备检修实训室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车身电器实训台架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汽车中控、防盗、电动后视镜、电动车窗示教台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汽车灯光信号仪表示教板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安全气囊示教实训台架（板）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倒车雷达示教实训台架（板）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汽车巡航示教实训台架（板）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汽车电器维修常用工具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汽车用试灯</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汽车起动充电机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6</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汽车空调系统检修实训室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汽车空调管路模拟连接实训台架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汽车手动空调电路连接实训台架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汽车手动空调实训台架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汽车自动空调实训台架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荧光/电子测漏仪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电子温湿度计</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冷媒回收加注机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汽车空调歧管压力表组</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汽车空调维修用真空泵</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汽车空调常用维修工具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7</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汽车维修工考证实训室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汽车发动机自动变速器实训台架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汽车故障电脑诊断仪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汽车专用万用表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汽油机汽缸压力表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汽车发动机总成及拆装翻转台架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离合器手动变速器实训台架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主减速器拆装检测实训台架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转向系及前桥实训台架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制动系实训台架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汽车五气体废气分析仪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汽车维修常用工具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汽车维修业务接待实训室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实训轿车（可共用）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汽车维修业务接待工位</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汽车维修业务接待管理系统</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电脑</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20(1/2)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9</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汽车整车实训场</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实训轿车（可共用）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汽车维修举升机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压缩空气站及管路系统</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尾气排气设施</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汽车定期维护常用工量具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rPr>
            </w:pPr>
            <w:r>
              <w:rPr>
                <w:rFonts w:hint="default" w:ascii="仿宋_GB2312" w:hAnsi="宋体" w:eastAsia="仿宋_GB2312" w:cs="仿宋_GB2312"/>
                <w:i w:val="0"/>
                <w:color w:val="auto"/>
                <w:kern w:val="0"/>
                <w:sz w:val="21"/>
                <w:szCs w:val="21"/>
                <w:u w:val="none"/>
                <w:lang w:val="en-US" w:eastAsia="zh-CN" w:bidi="ar"/>
              </w:rPr>
              <w:t>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eastAsia" w:ascii="仿宋_GB2312" w:hAnsi="宋体" w:eastAsia="仿宋_GB2312" w:cs="仿宋_GB2312"/>
                <w:i w:val="0"/>
                <w:color w:val="auto"/>
                <w:sz w:val="21"/>
                <w:szCs w:val="21"/>
                <w:u w:val="none"/>
                <w:lang w:val="en-US" w:eastAsia="zh-CN"/>
              </w:rPr>
            </w:pPr>
            <w:r>
              <w:rPr>
                <w:rFonts w:hint="eastAsia" w:ascii="仿宋_GB2312" w:hAnsi="宋体" w:eastAsia="仿宋_GB2312" w:cs="仿宋_GB2312"/>
                <w:i w:val="0"/>
                <w:color w:val="auto"/>
                <w:sz w:val="21"/>
                <w:szCs w:val="21"/>
                <w:u w:val="none"/>
                <w:lang w:val="en-US" w:eastAsia="zh-CN"/>
              </w:rPr>
              <w:t>10</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汽车综合实训室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实训轿车（可共用）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2(1/20)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汽车四轮定位用举升机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四轮定位仪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车速表试验台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灯光检测仪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噪声检测仪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发动机综合性能检测仪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汽车故障电脑诊断仪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hint="default" w:ascii="仿宋_GB2312" w:hAnsi="宋体" w:eastAsia="仿宋_GB2312" w:cs="仿宋_GB2312"/>
                <w:i w:val="0"/>
                <w:color w:val="auto"/>
                <w:sz w:val="21"/>
                <w:szCs w:val="21"/>
                <w:u w:val="none"/>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i w:val="0"/>
                <w:color w:val="auto"/>
                <w:sz w:val="21"/>
                <w:szCs w:val="21"/>
                <w:u w:val="none"/>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汽车维修常用工具及工具车</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1(1/40)</w:t>
            </w:r>
          </w:p>
        </w:tc>
      </w:tr>
    </w:tbl>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1"/>
          <w:szCs w:val="21"/>
          <w:highlight w:val="none"/>
        </w:rPr>
        <w:t>表</w:t>
      </w:r>
      <w:r>
        <w:rPr>
          <w:rFonts w:hint="eastAsia" w:ascii="仿宋_GB2312" w:hAnsi="仿宋_GB2312" w:cs="仿宋_GB2312"/>
          <w:color w:val="auto"/>
          <w:sz w:val="21"/>
          <w:szCs w:val="21"/>
          <w:highlight w:val="none"/>
          <w:lang w:val="en-US" w:eastAsia="zh-CN"/>
        </w:rPr>
        <w:t>12</w:t>
      </w:r>
      <w:r>
        <w:rPr>
          <w:rFonts w:hint="eastAsia" w:ascii="仿宋_GB2312" w:hAnsi="仿宋_GB2312" w:eastAsia="仿宋_GB2312" w:cs="仿宋_GB2312"/>
          <w:color w:val="auto"/>
          <w:sz w:val="21"/>
          <w:szCs w:val="21"/>
          <w:highlight w:val="none"/>
        </w:rPr>
        <w:t xml:space="preserve">  </w:t>
      </w:r>
      <w:r>
        <w:rPr>
          <w:rFonts w:hint="eastAsia" w:ascii="仿宋_GB2312" w:hAnsi="仿宋_GB2312" w:cs="仿宋_GB2312"/>
          <w:color w:val="auto"/>
          <w:sz w:val="21"/>
          <w:szCs w:val="21"/>
          <w:highlight w:val="none"/>
          <w:lang w:val="en-US" w:eastAsia="zh-CN"/>
        </w:rPr>
        <w:t>实训设备配置一览表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2.校外实践教学条件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本专业应建立</w:t>
      </w:r>
      <w:r>
        <w:rPr>
          <w:rFonts w:hint="eastAsia" w:ascii="仿宋_GB2312" w:hAnsi="仿宋_GB2312" w:eastAsia="仿宋_GB2312" w:cs="仿宋_GB2312"/>
          <w:color w:val="auto"/>
          <w:sz w:val="28"/>
          <w:szCs w:val="28"/>
          <w:lang w:val="en-US" w:eastAsia="zh-CN"/>
        </w:rPr>
        <w:t>3-4</w:t>
      </w:r>
      <w:r>
        <w:rPr>
          <w:rFonts w:hint="eastAsia" w:ascii="仿宋_GB2312" w:hAnsi="仿宋_GB2312" w:eastAsia="仿宋_GB2312" w:cs="仿宋_GB2312"/>
          <w:color w:val="auto"/>
          <w:sz w:val="28"/>
          <w:szCs w:val="28"/>
        </w:rPr>
        <w:t>个稳定的校外实训基地和若干个顶岗实习点。重点加强与国内汽车售后服务企业、新能源汽车制造企业和规范的大中型运营企业的友好合作，共同将校外实训基地建成集学生生产实习、双师型教师培养培训和产教研的基地。根据本专业岗位实习要求，校外实训基地应满足专业教学要求，具备实训场地，设备配置满足实践一体化课程的现场教学和实训项目的开展，使学生有机会深入生产一线，了解企业实际，体验企业文化</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保证学生的本专业技能训练进一步延续和提升。</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jc w:val="both"/>
        <w:textAlignment w:val="auto"/>
        <w:rPr>
          <w:rFonts w:hint="eastAsia" w:ascii="仿宋_GB2312" w:hAnsi="仿宋_GB2312" w:eastAsia="仿宋_GB2312" w:cs="仿宋_GB2312"/>
          <w:color w:val="auto"/>
          <w:sz w:val="28"/>
          <w:szCs w:val="28"/>
          <w:lang w:val="en-US" w:eastAsia="zh-CN"/>
        </w:rPr>
      </w:pPr>
      <w:bookmarkStart w:id="98" w:name="_Toc28654"/>
      <w:bookmarkStart w:id="99" w:name="_Toc11614"/>
      <w:bookmarkStart w:id="100" w:name="_Toc6129"/>
      <w:r>
        <w:rPr>
          <w:rFonts w:hint="eastAsia" w:ascii="仿宋_GB2312" w:hAnsi="仿宋_GB2312" w:eastAsia="仿宋_GB2312" w:cs="仿宋_GB2312"/>
          <w:color w:val="auto"/>
          <w:sz w:val="28"/>
          <w:szCs w:val="28"/>
          <w:lang w:val="en-US" w:eastAsia="zh-CN"/>
        </w:rPr>
        <w:t>（三）</w:t>
      </w:r>
      <w:r>
        <w:rPr>
          <w:rFonts w:hint="eastAsia" w:ascii="仿宋_GB2312" w:hAnsi="仿宋_GB2312" w:eastAsia="仿宋_GB2312" w:cs="仿宋_GB2312"/>
          <w:color w:val="auto"/>
          <w:sz w:val="28"/>
          <w:szCs w:val="28"/>
          <w:lang w:val="zh-CN" w:eastAsia="zh-CN"/>
        </w:rPr>
        <w:t>教</w:t>
      </w:r>
      <w:r>
        <w:rPr>
          <w:rFonts w:hint="eastAsia" w:ascii="仿宋_GB2312" w:hAnsi="仿宋_GB2312" w:eastAsia="仿宋_GB2312" w:cs="仿宋_GB2312"/>
          <w:color w:val="auto"/>
          <w:sz w:val="28"/>
          <w:szCs w:val="28"/>
          <w:lang w:val="en-US" w:eastAsia="zh-CN"/>
        </w:rPr>
        <w:t>学资源</w:t>
      </w:r>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1.教材选用：本专业所有公共基础课教材和专业课教材</w:t>
      </w:r>
      <w:r>
        <w:rPr>
          <w:rFonts w:hint="eastAsia" w:ascii="仿宋_GB2312" w:hAnsi="仿宋_GB2312" w:eastAsia="仿宋_GB2312" w:cs="仿宋_GB2312"/>
          <w:color w:val="auto"/>
          <w:sz w:val="28"/>
          <w:szCs w:val="28"/>
          <w:lang w:val="en-US" w:eastAsia="zh-CN"/>
        </w:rPr>
        <w:t>首</w:t>
      </w:r>
      <w:r>
        <w:rPr>
          <w:rFonts w:hint="eastAsia" w:ascii="仿宋_GB2312" w:hAnsi="仿宋_GB2312" w:eastAsia="仿宋_GB2312" w:cs="仿宋_GB2312"/>
          <w:color w:val="auto"/>
          <w:sz w:val="28"/>
          <w:szCs w:val="28"/>
        </w:rPr>
        <w:t>选用中等职业教育国家规划教材，专业课程应积极使用新型活页式、工作手册式教材；如没有国家规划教材，可以选用市级规划教材；如没有市级规划教材，可以选用自编校本教材，自编校本教材应由教务处会同专业部统筹安排，并报分管教学的校领导批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2.校企合作资源平台</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充分发挥网络学习优势，提供专业的教学资源库链接，让学生的自主学习，利于学生的思维与技能的拓展由校企共同研发的汽修专业教学资源</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云课堂</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平台。以实际任务为驱动，培养学生完成任务的能力。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3.数字</w:t>
      </w:r>
      <w:r>
        <w:rPr>
          <w:rFonts w:hint="eastAsia" w:ascii="仿宋_GB2312" w:hAnsi="仿宋_GB2312" w:eastAsia="仿宋_GB2312" w:cs="仿宋_GB2312"/>
          <w:color w:val="auto"/>
          <w:sz w:val="28"/>
          <w:szCs w:val="28"/>
          <w:lang w:val="en-US" w:eastAsia="zh-CN"/>
        </w:rPr>
        <w:t>化</w:t>
      </w:r>
      <w:r>
        <w:rPr>
          <w:rFonts w:hint="eastAsia" w:ascii="仿宋_GB2312" w:hAnsi="仿宋_GB2312" w:eastAsia="仿宋_GB2312" w:cs="仿宋_GB2312"/>
          <w:color w:val="auto"/>
          <w:sz w:val="28"/>
          <w:szCs w:val="28"/>
        </w:rPr>
        <w:t>资源配备：每门课程均配备电子教案、PPT课件、教学素材、仿真课件等内容。利用数字化教学平台（如“超星学习通”）、</w:t>
      </w:r>
      <w:r>
        <w:rPr>
          <w:rFonts w:hint="eastAsia" w:ascii="仿宋_GB2312" w:hAnsi="仿宋_GB2312" w:cs="仿宋_GB2312"/>
          <w:color w:val="auto"/>
          <w:sz w:val="28"/>
          <w:szCs w:val="28"/>
          <w:lang w:val="en-US" w:eastAsia="zh-CN"/>
        </w:rPr>
        <w:t>智慧</w:t>
      </w:r>
      <w:r>
        <w:rPr>
          <w:rFonts w:hint="eastAsia" w:ascii="仿宋_GB2312" w:hAnsi="仿宋_GB2312" w:eastAsia="仿宋_GB2312" w:cs="仿宋_GB2312"/>
          <w:color w:val="auto"/>
          <w:sz w:val="28"/>
          <w:szCs w:val="28"/>
        </w:rPr>
        <w:t>校园网资源库等数字化学习资源，供学生自主学习。</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jc w:val="both"/>
        <w:textAlignment w:val="auto"/>
        <w:rPr>
          <w:rFonts w:hint="eastAsia" w:ascii="仿宋_GB2312" w:hAnsi="仿宋_GB2312" w:eastAsia="仿宋_GB2312" w:cs="仿宋_GB2312"/>
          <w:color w:val="auto"/>
          <w:sz w:val="28"/>
          <w:szCs w:val="28"/>
          <w:lang w:val="en-US" w:eastAsia="zh-CN"/>
        </w:rPr>
      </w:pPr>
      <w:bookmarkStart w:id="101" w:name="_Toc24027"/>
      <w:bookmarkStart w:id="102" w:name="_Toc5668"/>
      <w:bookmarkStart w:id="103" w:name="_Toc659"/>
      <w:r>
        <w:rPr>
          <w:rFonts w:hint="eastAsia" w:ascii="仿宋_GB2312" w:hAnsi="仿宋_GB2312" w:eastAsia="仿宋_GB2312" w:cs="仿宋_GB2312"/>
          <w:color w:val="auto"/>
          <w:sz w:val="28"/>
          <w:szCs w:val="28"/>
          <w:lang w:val="en-US" w:eastAsia="zh-CN"/>
        </w:rPr>
        <w:t>（四）</w:t>
      </w:r>
      <w:r>
        <w:rPr>
          <w:rFonts w:hint="eastAsia" w:ascii="仿宋_GB2312" w:hAnsi="仿宋_GB2312" w:eastAsia="仿宋_GB2312" w:cs="仿宋_GB2312"/>
          <w:color w:val="auto"/>
          <w:sz w:val="28"/>
          <w:szCs w:val="28"/>
          <w:lang w:val="zh-CN" w:eastAsia="zh-CN"/>
        </w:rPr>
        <w:t>教</w:t>
      </w:r>
      <w:r>
        <w:rPr>
          <w:rFonts w:hint="eastAsia" w:ascii="仿宋_GB2312" w:hAnsi="仿宋_GB2312" w:eastAsia="仿宋_GB2312" w:cs="仿宋_GB2312"/>
          <w:color w:val="auto"/>
          <w:sz w:val="28"/>
          <w:szCs w:val="28"/>
          <w:lang w:val="en-US" w:eastAsia="zh-CN"/>
        </w:rPr>
        <w:t>学方法</w:t>
      </w:r>
      <w:bookmarkEnd w:id="101"/>
      <w:bookmarkEnd w:id="102"/>
      <w:bookmarkEnd w:id="103"/>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教师需以行动导向教学理念为指引，综合采用多种教学方法完成专业课教学。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1．讲授法：最基本的教学方法，教师对重要的理论知识采用讲授的教学方式，直接、快速、精炼的让学生掌握，为学生在实践中能更游刃有余的应用打好坚实的理论基础。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2.讨论法：在教师的指导下，学生以全班或小组为单位，围绕教材的中心问题，各抒己见，通过讨论或辩论活动，获得知识或巩固知识的一种教学方法。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3.案例教学法：教师以真实的案例情境或题材，引导学生进行互相讨论，激励学生主动参与学习活动的一种教学方式。教师于教学中扮演着设计者和激励者的角色，引导学生参与到教学活动中。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4.项目教学法：通过以提高学生实践能力为目标的项目设计、实施，教师提供一定的引导及帮助，让学生以小组合作形式自主完成，以综合培养其专业能力、方法能力。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任务驱动法：基于工作岗位的任务教学法，专业教师根据在主要岗位能力要求的基础上，进行实践教学任务设计，让学生在“学中做，做中学”，营造真实岗位情景。同时进行全面立体的评价，增强学生的学习能动性。</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jc w:val="both"/>
        <w:textAlignment w:val="auto"/>
        <w:rPr>
          <w:rFonts w:hint="eastAsia" w:ascii="仿宋_GB2312" w:hAnsi="仿宋_GB2312" w:eastAsia="仿宋_GB2312" w:cs="仿宋_GB2312"/>
          <w:color w:val="auto"/>
          <w:sz w:val="28"/>
          <w:szCs w:val="28"/>
          <w:lang w:val="en-US" w:eastAsia="zh-CN"/>
        </w:rPr>
      </w:pPr>
      <w:bookmarkStart w:id="104" w:name="_Toc20812"/>
      <w:bookmarkStart w:id="105" w:name="_Toc26138"/>
      <w:bookmarkStart w:id="106" w:name="_Toc14400"/>
      <w:r>
        <w:rPr>
          <w:rFonts w:hint="eastAsia" w:ascii="仿宋_GB2312" w:hAnsi="仿宋_GB2312" w:eastAsia="仿宋_GB2312" w:cs="仿宋_GB2312"/>
          <w:color w:val="auto"/>
          <w:sz w:val="28"/>
          <w:szCs w:val="28"/>
          <w:lang w:val="en-US" w:eastAsia="zh-CN"/>
        </w:rPr>
        <w:t>（五）学习评价</w:t>
      </w:r>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教学评价应体现评价主体、评价方式、评价过程的多元化。要校内校外评价结合，学业考核与职业技能鉴定结合，教师评价、学生互评与自我评价相结合，过程性评价与结果性评价相结合。创新评价方式方法，既要关注学生对知识的理解和技能的掌握，更要关注运用知识在实践中解决实际问题的能力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要注重职业道德教育，构建学生、教师、家长、企业、社会广泛参与的学生综合素质评价体系；以过程性评价为导向，将学生日常学习态度、学习表现、知识技能运用纳入评价范围，形成日常学业水平测试、技能抽查等学业评价为主、期末考试考查为辅的过程性学业评价体系；以“1+X”证书为导向，课程融合；以企业职业岗位标准为参考依据，形成学校与企业专家共同参与学生企业顶岗实习环节的评价机制。结合专业教学实际，确定期末考试考查课程，按学业成绩管理统一规定，制定各门课程成绩评价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教学评价包括专业知识、专业技能和关键能力三个方面，权重可自行设置。各项目采用的考核方式分别为：专业知识主要采取笔试进行考核；专业技能主要采取实操形式进行考核，以企业生产实际中比较典型和常见的工作任务作为考核内容；关键能力主要是以学生平时的综合表现进行考核，涵盖出勤及仪容仪表、收集信息质量、计划可行性、工作态度与习惯、发现问题的敏锐性、处理问题的及时性、沟通能力和合作精神等方面的考核。</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jc w:val="both"/>
        <w:textAlignment w:val="auto"/>
        <w:rPr>
          <w:rFonts w:hint="eastAsia" w:ascii="仿宋_GB2312" w:hAnsi="仿宋_GB2312" w:eastAsia="仿宋_GB2312" w:cs="仿宋_GB2312"/>
          <w:color w:val="auto"/>
          <w:sz w:val="28"/>
          <w:szCs w:val="28"/>
          <w:lang w:val="en-US" w:eastAsia="zh-CN"/>
        </w:rPr>
      </w:pPr>
      <w:bookmarkStart w:id="107" w:name="_Toc7712"/>
      <w:bookmarkStart w:id="108" w:name="_Toc19798"/>
      <w:bookmarkStart w:id="109" w:name="_Toc15318"/>
      <w:r>
        <w:rPr>
          <w:rFonts w:hint="eastAsia" w:ascii="仿宋_GB2312" w:hAnsi="仿宋_GB2312" w:eastAsia="仿宋_GB2312" w:cs="仿宋_GB2312"/>
          <w:color w:val="auto"/>
          <w:sz w:val="28"/>
          <w:szCs w:val="28"/>
          <w:lang w:val="en-US" w:eastAsia="zh-CN"/>
        </w:rPr>
        <w:t>（六）质量管理</w:t>
      </w:r>
      <w:bookmarkEnd w:id="107"/>
      <w:bookmarkEnd w:id="108"/>
      <w:bookmarkEnd w:id="109"/>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教学管理是学校的中心工作，教学质量管理是教学管理的核心。为实现中职学校教学管理的程序化、规范化、科学化、信息化，各学校要依据本专业教学指导方案，规范制定本专业实施性教学计划，并加强对学校实施性教学计划执行的管理监督，严格按教学计划开设课程，统一公共基础课的教学要求，加强对教学过程的质量监控。实施中职公共基础课学生学业质量评价，积极推行技能抽查、学业水平测试、综合素质评价和毕业生质量跟踪调查等。要按照教育部关于建立职业院校教学工作诊断与改进制度的有关要求，全面开展教学诊断与改进工作，不断完善内部质量保证制度体系和运行机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按教育行政管理部门的规定实行学分制管理，积极推进学历证和职业资格证“双证书”制度。开展校企联合招生、联合培养的现代学徒制试点，推进校企一体化育人。制定学生实习管理实施办法，认真落实《中等职业学校学生实习管理办法》的规定和要求，加强监管。</w:t>
      </w:r>
    </w:p>
    <w:p>
      <w:pPr>
        <w:pStyle w:val="2"/>
        <w:pageBreakBefore w:val="0"/>
        <w:widowControl w:val="0"/>
        <w:kinsoku/>
        <w:wordWrap/>
        <w:overflowPunct/>
        <w:topLinePunct w:val="0"/>
        <w:autoSpaceDE/>
        <w:autoSpaceDN/>
        <w:bidi w:val="0"/>
        <w:adjustRightInd/>
        <w:snapToGrid/>
        <w:spacing w:before="0" w:beforeLines="0" w:after="0" w:afterLines="0" w:line="560" w:lineRule="exact"/>
        <w:ind w:right="0" w:rightChars="0" w:firstLine="643" w:firstLineChars="200"/>
        <w:jc w:val="both"/>
        <w:textAlignment w:val="auto"/>
        <w:rPr>
          <w:rFonts w:hint="eastAsia" w:ascii="仿宋_GB2312" w:hAnsi="仿宋_GB2312" w:eastAsia="仿宋_GB2312" w:cs="仿宋_GB2312"/>
          <w:color w:val="auto"/>
          <w:sz w:val="32"/>
          <w:szCs w:val="32"/>
          <w:lang w:val="en-US" w:eastAsia="zh-CN"/>
        </w:rPr>
      </w:pPr>
      <w:bookmarkStart w:id="110" w:name="_Toc10690"/>
      <w:bookmarkStart w:id="111" w:name="_Toc414"/>
      <w:bookmarkStart w:id="112" w:name="_Toc7713"/>
      <w:r>
        <w:rPr>
          <w:rFonts w:hint="eastAsia" w:ascii="仿宋_GB2312" w:hAnsi="仿宋_GB2312" w:eastAsia="仿宋_GB2312" w:cs="仿宋_GB2312"/>
          <w:color w:val="auto"/>
          <w:sz w:val="32"/>
          <w:szCs w:val="32"/>
          <w:lang w:val="en-US" w:eastAsia="zh-CN"/>
        </w:rPr>
        <w:t>九、毕业要求</w:t>
      </w:r>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本专业毕业生在毕业审查时，要求同时满足以下条件：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1.无任何纪律处分和违法记录，思想政治合格。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2.根据</w:t>
      </w:r>
      <w:r>
        <w:rPr>
          <w:rFonts w:hint="eastAsia" w:ascii="仿宋_GB2312" w:hAnsi="仿宋_GB2312" w:eastAsia="仿宋_GB2312" w:cs="仿宋_GB2312"/>
          <w:color w:val="auto"/>
          <w:sz w:val="28"/>
          <w:szCs w:val="28"/>
        </w:rPr>
        <w:t>专业</w:t>
      </w:r>
      <w:r>
        <w:rPr>
          <w:rFonts w:hint="eastAsia" w:ascii="仿宋_GB2312" w:hAnsi="仿宋_GB2312" w:eastAsia="仿宋_GB2312" w:cs="仿宋_GB2312"/>
          <w:color w:val="auto"/>
          <w:sz w:val="28"/>
          <w:szCs w:val="28"/>
          <w:lang w:val="en-US" w:eastAsia="zh-CN"/>
        </w:rPr>
        <w:t>人才</w:t>
      </w:r>
      <w:r>
        <w:rPr>
          <w:rFonts w:hint="eastAsia" w:ascii="仿宋_GB2312" w:hAnsi="仿宋_GB2312" w:eastAsia="仿宋_GB2312" w:cs="仿宋_GB2312"/>
          <w:color w:val="auto"/>
          <w:sz w:val="28"/>
          <w:szCs w:val="28"/>
        </w:rPr>
        <w:t>培养</w:t>
      </w:r>
      <w:r>
        <w:rPr>
          <w:rFonts w:hint="eastAsia" w:ascii="仿宋_GB2312" w:hAnsi="仿宋_GB2312" w:eastAsia="仿宋_GB2312" w:cs="仿宋_GB2312"/>
          <w:color w:val="auto"/>
          <w:sz w:val="28"/>
          <w:szCs w:val="28"/>
          <w:lang w:val="en-US" w:eastAsia="zh-CN"/>
        </w:rPr>
        <w:t>目标</w:t>
      </w:r>
      <w:r>
        <w:rPr>
          <w:rFonts w:hint="eastAsia" w:ascii="仿宋_GB2312" w:hAnsi="仿宋_GB2312" w:eastAsia="仿宋_GB2312" w:cs="仿宋_GB2312"/>
          <w:color w:val="auto"/>
          <w:sz w:val="28"/>
          <w:szCs w:val="28"/>
        </w:rPr>
        <w:t>和培养</w:t>
      </w:r>
      <w:r>
        <w:rPr>
          <w:rFonts w:hint="eastAsia" w:ascii="仿宋_GB2312" w:hAnsi="仿宋_GB2312" w:eastAsia="仿宋_GB2312" w:cs="仿宋_GB2312"/>
          <w:color w:val="auto"/>
          <w:sz w:val="28"/>
          <w:szCs w:val="28"/>
          <w:lang w:val="en-US" w:eastAsia="zh-CN"/>
        </w:rPr>
        <w:t>规格</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结合本校实际情况</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学生通过3年的学习必须修满专业人才培养方案规定的学时和学分。</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根据职业岗位需求,</w:t>
      </w:r>
      <w:r>
        <w:rPr>
          <w:rFonts w:hint="eastAsia" w:ascii="仿宋_GB2312" w:hAnsi="仿宋_GB2312" w:eastAsia="仿宋_GB2312" w:cs="仿宋_GB2312"/>
          <w:color w:val="auto"/>
          <w:sz w:val="28"/>
          <w:szCs w:val="28"/>
          <w:lang w:val="en-US" w:eastAsia="zh-CN"/>
        </w:rPr>
        <w:t>学生毕业之前须取得与专业相关的一项</w:t>
      </w:r>
      <w:r>
        <w:rPr>
          <w:rFonts w:hint="eastAsia" w:ascii="仿宋_GB2312" w:hAnsi="仿宋_GB2312" w:eastAsia="仿宋_GB2312" w:cs="仿宋_GB2312"/>
          <w:color w:val="auto"/>
          <w:sz w:val="28"/>
          <w:szCs w:val="28"/>
        </w:rPr>
        <w:t>职业资格证书</w:t>
      </w:r>
      <w:r>
        <w:rPr>
          <w:rFonts w:hint="eastAsia" w:ascii="仿宋_GB2312" w:hAnsi="仿宋_GB2312" w:eastAsia="仿宋_GB2312" w:cs="仿宋_GB2312"/>
          <w:color w:val="auto"/>
          <w:sz w:val="28"/>
          <w:szCs w:val="28"/>
          <w:lang w:val="en-US" w:eastAsia="zh-CN"/>
        </w:rPr>
        <w:t>或</w:t>
      </w:r>
      <w:r>
        <w:rPr>
          <w:rFonts w:hint="eastAsia" w:ascii="仿宋_GB2312" w:hAnsi="仿宋_GB2312" w:eastAsia="仿宋_GB2312" w:cs="仿宋_GB2312"/>
          <w:color w:val="auto"/>
          <w:sz w:val="28"/>
          <w:szCs w:val="28"/>
          <w:lang w:val="en-US" w:eastAsia="en-US"/>
        </w:rPr>
        <w:t>“1+X”</w:t>
      </w:r>
      <w:r>
        <w:rPr>
          <w:rFonts w:hint="eastAsia" w:ascii="仿宋_GB2312" w:hAnsi="仿宋_GB2312" w:eastAsia="仿宋_GB2312" w:cs="仿宋_GB2312"/>
          <w:color w:val="auto"/>
          <w:sz w:val="28"/>
          <w:szCs w:val="28"/>
        </w:rPr>
        <w:t>职业技能等级证书。</w:t>
      </w:r>
    </w:p>
    <w:p>
      <w:pPr>
        <w:pStyle w:val="2"/>
        <w:pageBreakBefore w:val="0"/>
        <w:widowControl w:val="0"/>
        <w:kinsoku/>
        <w:wordWrap/>
        <w:overflowPunct/>
        <w:topLinePunct w:val="0"/>
        <w:autoSpaceDE/>
        <w:autoSpaceDN/>
        <w:bidi w:val="0"/>
        <w:adjustRightInd/>
        <w:snapToGrid/>
        <w:spacing w:before="0" w:beforeLines="0" w:after="0" w:afterLines="0" w:line="560" w:lineRule="exact"/>
        <w:ind w:right="0" w:rightChars="0" w:firstLine="643" w:firstLineChars="200"/>
        <w:jc w:val="both"/>
        <w:textAlignment w:val="auto"/>
        <w:rPr>
          <w:rFonts w:hint="eastAsia" w:ascii="仿宋_GB2312" w:hAnsi="仿宋_GB2312" w:eastAsia="仿宋_GB2312" w:cs="仿宋_GB2312"/>
          <w:color w:val="auto"/>
          <w:sz w:val="32"/>
          <w:szCs w:val="32"/>
          <w:lang w:val="en-US" w:eastAsia="zh-CN"/>
        </w:rPr>
      </w:pPr>
      <w:bookmarkStart w:id="113" w:name="_Toc17281"/>
      <w:bookmarkStart w:id="114" w:name="_Toc5845"/>
      <w:bookmarkStart w:id="115" w:name="_Toc22432"/>
      <w:r>
        <w:rPr>
          <w:rFonts w:hint="eastAsia" w:ascii="仿宋_GB2312" w:hAnsi="仿宋_GB2312" w:eastAsia="仿宋_GB2312" w:cs="仿宋_GB2312"/>
          <w:color w:val="auto"/>
          <w:sz w:val="32"/>
          <w:szCs w:val="32"/>
          <w:lang w:val="en-US" w:eastAsia="zh-CN"/>
        </w:rPr>
        <w:t>十、其他</w:t>
      </w:r>
      <w:bookmarkEnd w:id="113"/>
      <w:bookmarkEnd w:id="114"/>
      <w:bookmarkEnd w:id="115"/>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jc w:val="both"/>
        <w:textAlignment w:val="auto"/>
        <w:rPr>
          <w:rFonts w:hint="eastAsia" w:ascii="仿宋_GB2312" w:hAnsi="仿宋_GB2312" w:eastAsia="仿宋_GB2312" w:cs="仿宋_GB2312"/>
          <w:color w:val="auto"/>
          <w:sz w:val="28"/>
          <w:szCs w:val="28"/>
          <w:lang w:val="en-US" w:eastAsia="zh-CN"/>
        </w:rPr>
      </w:pPr>
      <w:bookmarkStart w:id="116" w:name="_Toc19350"/>
      <w:bookmarkStart w:id="117" w:name="_Toc533"/>
      <w:bookmarkStart w:id="118" w:name="_Toc32256"/>
      <w:r>
        <w:rPr>
          <w:rFonts w:hint="eastAsia" w:ascii="仿宋_GB2312" w:hAnsi="仿宋_GB2312" w:eastAsia="仿宋_GB2312" w:cs="仿宋_GB2312"/>
          <w:color w:val="auto"/>
          <w:sz w:val="28"/>
          <w:szCs w:val="28"/>
          <w:lang w:val="en-US" w:eastAsia="zh-CN"/>
        </w:rPr>
        <w:t>（一）编写依据</w:t>
      </w:r>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1.教育部《关于职业院校专业人才培养方案制定与实施工作的指导意见》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2.教育部《中等职业学校汽车运用与维修专业教学标准》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3.教育部《职业院校专业实训条件建设标准》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4.重庆市《中等职业学校汽车运用与维修专业人才培养指导方案》</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jc w:val="both"/>
        <w:textAlignment w:val="auto"/>
        <w:rPr>
          <w:rFonts w:hint="eastAsia" w:ascii="仿宋_GB2312" w:hAnsi="仿宋_GB2312" w:eastAsia="仿宋_GB2312" w:cs="仿宋_GB2312"/>
          <w:color w:val="auto"/>
          <w:sz w:val="28"/>
          <w:szCs w:val="28"/>
          <w:lang w:val="en-US" w:eastAsia="zh-CN"/>
        </w:rPr>
      </w:pPr>
      <w:bookmarkStart w:id="119" w:name="_Toc29642"/>
      <w:bookmarkStart w:id="120" w:name="_Toc11834"/>
      <w:bookmarkStart w:id="121" w:name="_Toc25178"/>
      <w:r>
        <w:rPr>
          <w:rFonts w:hint="eastAsia" w:ascii="仿宋_GB2312" w:hAnsi="仿宋_GB2312" w:eastAsia="仿宋_GB2312" w:cs="仿宋_GB2312"/>
          <w:color w:val="auto"/>
          <w:sz w:val="28"/>
          <w:szCs w:val="28"/>
          <w:lang w:val="en-US" w:eastAsia="zh-CN"/>
        </w:rPr>
        <w:t>（二）适用范围</w:t>
      </w:r>
      <w:bookmarkEnd w:id="119"/>
      <w:bookmarkEnd w:id="120"/>
      <w:bookmarkEnd w:id="121"/>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1.中职三年制汽车运用与维修专业。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2.汽车专业3+4、五年制的中等职业教育阶段可参照执行。</w:t>
      </w:r>
    </w:p>
    <w:p>
      <w:pPr>
        <w:pStyle w:val="3"/>
        <w:pageBreakBefore w:val="0"/>
        <w:widowControl w:val="0"/>
        <w:kinsoku/>
        <w:wordWrap/>
        <w:overflowPunct/>
        <w:topLinePunct w:val="0"/>
        <w:autoSpaceDE/>
        <w:autoSpaceDN/>
        <w:bidi w:val="0"/>
        <w:adjustRightInd/>
        <w:snapToGrid/>
        <w:spacing w:before="0" w:beforeLines="0" w:after="0" w:afterLines="0" w:line="560" w:lineRule="exact"/>
        <w:ind w:right="0" w:rightChars="0" w:firstLine="562" w:firstLineChars="200"/>
        <w:jc w:val="both"/>
        <w:textAlignment w:val="auto"/>
        <w:rPr>
          <w:rFonts w:hint="eastAsia" w:ascii="仿宋_GB2312" w:hAnsi="仿宋_GB2312" w:eastAsia="仿宋_GB2312" w:cs="仿宋_GB2312"/>
          <w:color w:val="auto"/>
          <w:sz w:val="28"/>
          <w:szCs w:val="28"/>
          <w:lang w:val="en-US" w:eastAsia="zh-CN"/>
        </w:rPr>
      </w:pPr>
      <w:bookmarkStart w:id="122" w:name="_Toc31937"/>
      <w:bookmarkStart w:id="123" w:name="_Toc32432"/>
      <w:bookmarkStart w:id="124" w:name="_Toc4141"/>
      <w:r>
        <w:rPr>
          <w:rFonts w:hint="eastAsia" w:ascii="仿宋_GB2312" w:hAnsi="仿宋_GB2312" w:eastAsia="仿宋_GB2312" w:cs="仿宋_GB2312"/>
          <w:color w:val="auto"/>
          <w:sz w:val="28"/>
          <w:szCs w:val="28"/>
          <w:lang w:val="en-US" w:eastAsia="zh-CN"/>
        </w:rPr>
        <w:t>（三）修订原则</w:t>
      </w:r>
      <w:bookmarkEnd w:id="122"/>
      <w:bookmarkEnd w:id="123"/>
      <w:bookmarkEnd w:id="124"/>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原则上每三年修订一次，修订后报专业建设指导委员会和学校教务处审核通过后实施。</w:t>
      </w:r>
    </w:p>
    <w:p>
      <w:pPr>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center"/>
        <w:textAlignment w:val="auto"/>
        <w:rPr>
          <w:color w:val="auto"/>
          <w:sz w:val="28"/>
          <w:szCs w:val="28"/>
        </w:rPr>
      </w:pPr>
    </w:p>
    <w:sectPr>
      <w:footerReference r:id="rId6" w:type="default"/>
      <w:pgSz w:w="11906" w:h="16838"/>
      <w:pgMar w:top="1134" w:right="1134" w:bottom="1134" w:left="1134"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2ZTdlYWY2NjZiNDgxOTc0ZGMzMDI2ZTIwZmFlY2YifQ=="/>
  </w:docVars>
  <w:rsids>
    <w:rsidRoot w:val="00172A27"/>
    <w:rsid w:val="00381CA1"/>
    <w:rsid w:val="00DB6CAB"/>
    <w:rsid w:val="01833AE3"/>
    <w:rsid w:val="01BA05AB"/>
    <w:rsid w:val="02A11271"/>
    <w:rsid w:val="056F6D1F"/>
    <w:rsid w:val="067C1AE6"/>
    <w:rsid w:val="07090889"/>
    <w:rsid w:val="08CB3BC6"/>
    <w:rsid w:val="09D10C6B"/>
    <w:rsid w:val="0A5E7708"/>
    <w:rsid w:val="0A726155"/>
    <w:rsid w:val="0D6924CB"/>
    <w:rsid w:val="0D901873"/>
    <w:rsid w:val="0E1B7FFB"/>
    <w:rsid w:val="0EB572D1"/>
    <w:rsid w:val="0EF10A45"/>
    <w:rsid w:val="0FD31532"/>
    <w:rsid w:val="11762873"/>
    <w:rsid w:val="11E221CA"/>
    <w:rsid w:val="12170C2E"/>
    <w:rsid w:val="124869C8"/>
    <w:rsid w:val="14551D58"/>
    <w:rsid w:val="14C02212"/>
    <w:rsid w:val="14DE013D"/>
    <w:rsid w:val="151F0A54"/>
    <w:rsid w:val="15641915"/>
    <w:rsid w:val="15922163"/>
    <w:rsid w:val="16B234F1"/>
    <w:rsid w:val="16F3717C"/>
    <w:rsid w:val="18DD0B13"/>
    <w:rsid w:val="190A73F0"/>
    <w:rsid w:val="1A0B0A47"/>
    <w:rsid w:val="1A18653B"/>
    <w:rsid w:val="1DDC7856"/>
    <w:rsid w:val="1E023C8B"/>
    <w:rsid w:val="1E0D6278"/>
    <w:rsid w:val="1E2557D7"/>
    <w:rsid w:val="1FDA5827"/>
    <w:rsid w:val="20C013F5"/>
    <w:rsid w:val="213D7866"/>
    <w:rsid w:val="21CB2EE3"/>
    <w:rsid w:val="21D861D9"/>
    <w:rsid w:val="223A4EFA"/>
    <w:rsid w:val="22B0401F"/>
    <w:rsid w:val="22FF6BE6"/>
    <w:rsid w:val="23A95C5B"/>
    <w:rsid w:val="23FD3674"/>
    <w:rsid w:val="255C2D5A"/>
    <w:rsid w:val="257A558D"/>
    <w:rsid w:val="2739451C"/>
    <w:rsid w:val="27621A5B"/>
    <w:rsid w:val="27F94EEE"/>
    <w:rsid w:val="29BD3A41"/>
    <w:rsid w:val="29FA5255"/>
    <w:rsid w:val="2A300445"/>
    <w:rsid w:val="2AFF5F3D"/>
    <w:rsid w:val="2B095D12"/>
    <w:rsid w:val="2BAD398D"/>
    <w:rsid w:val="2BC246E5"/>
    <w:rsid w:val="2CD14522"/>
    <w:rsid w:val="2F522B4E"/>
    <w:rsid w:val="2F663FF7"/>
    <w:rsid w:val="2F884117"/>
    <w:rsid w:val="304A2FCA"/>
    <w:rsid w:val="304F45E9"/>
    <w:rsid w:val="312832E0"/>
    <w:rsid w:val="318B72BB"/>
    <w:rsid w:val="3252635D"/>
    <w:rsid w:val="32E91826"/>
    <w:rsid w:val="34E44205"/>
    <w:rsid w:val="36455F12"/>
    <w:rsid w:val="368F2B7E"/>
    <w:rsid w:val="37185D1E"/>
    <w:rsid w:val="37D318A4"/>
    <w:rsid w:val="37FE1DEC"/>
    <w:rsid w:val="381B2CE1"/>
    <w:rsid w:val="392A6ACA"/>
    <w:rsid w:val="39B070D4"/>
    <w:rsid w:val="3A2D6E2F"/>
    <w:rsid w:val="3B086C8C"/>
    <w:rsid w:val="3B8465F7"/>
    <w:rsid w:val="3C6A742C"/>
    <w:rsid w:val="3CD0699E"/>
    <w:rsid w:val="3D7D14F8"/>
    <w:rsid w:val="3D7E3092"/>
    <w:rsid w:val="3DE37FFB"/>
    <w:rsid w:val="3E565FD5"/>
    <w:rsid w:val="3F560780"/>
    <w:rsid w:val="3FC967A2"/>
    <w:rsid w:val="409301C5"/>
    <w:rsid w:val="41897F13"/>
    <w:rsid w:val="42721912"/>
    <w:rsid w:val="42DA7C26"/>
    <w:rsid w:val="43533013"/>
    <w:rsid w:val="43F62228"/>
    <w:rsid w:val="44CF7A42"/>
    <w:rsid w:val="46D71986"/>
    <w:rsid w:val="47EA5484"/>
    <w:rsid w:val="482A258F"/>
    <w:rsid w:val="482B21E0"/>
    <w:rsid w:val="4B0C1CF5"/>
    <w:rsid w:val="4D925C28"/>
    <w:rsid w:val="4E366AC0"/>
    <w:rsid w:val="4E3E2C90"/>
    <w:rsid w:val="4E6E6427"/>
    <w:rsid w:val="4EFE5FB7"/>
    <w:rsid w:val="502A792C"/>
    <w:rsid w:val="50760293"/>
    <w:rsid w:val="5089075F"/>
    <w:rsid w:val="53ED643F"/>
    <w:rsid w:val="54790FFB"/>
    <w:rsid w:val="556D5D1B"/>
    <w:rsid w:val="55F8184D"/>
    <w:rsid w:val="5BD12F3F"/>
    <w:rsid w:val="5C4707F3"/>
    <w:rsid w:val="5D297D02"/>
    <w:rsid w:val="5D7E2D18"/>
    <w:rsid w:val="5DFF45E6"/>
    <w:rsid w:val="60607BA4"/>
    <w:rsid w:val="60993645"/>
    <w:rsid w:val="610861D9"/>
    <w:rsid w:val="622409CC"/>
    <w:rsid w:val="62D25850"/>
    <w:rsid w:val="63CD0C9E"/>
    <w:rsid w:val="63F34B45"/>
    <w:rsid w:val="656E291E"/>
    <w:rsid w:val="65B72F94"/>
    <w:rsid w:val="65E255D7"/>
    <w:rsid w:val="661F08A1"/>
    <w:rsid w:val="6636384B"/>
    <w:rsid w:val="685A7468"/>
    <w:rsid w:val="687B6FCF"/>
    <w:rsid w:val="688E0C4D"/>
    <w:rsid w:val="69B53AF7"/>
    <w:rsid w:val="69F2434A"/>
    <w:rsid w:val="6AE5695B"/>
    <w:rsid w:val="6B810625"/>
    <w:rsid w:val="6BA94FED"/>
    <w:rsid w:val="6E780258"/>
    <w:rsid w:val="6ECC1A2F"/>
    <w:rsid w:val="70CC764D"/>
    <w:rsid w:val="71564B3D"/>
    <w:rsid w:val="730372B1"/>
    <w:rsid w:val="7318317B"/>
    <w:rsid w:val="738B4361"/>
    <w:rsid w:val="743C350F"/>
    <w:rsid w:val="74EE2A60"/>
    <w:rsid w:val="75C92139"/>
    <w:rsid w:val="7605504C"/>
    <w:rsid w:val="7779378A"/>
    <w:rsid w:val="780655AD"/>
    <w:rsid w:val="7811677A"/>
    <w:rsid w:val="7A5C5461"/>
    <w:rsid w:val="7B385B7D"/>
    <w:rsid w:val="7C7F5E3F"/>
    <w:rsid w:val="7CE10F7D"/>
    <w:rsid w:val="7DA876D2"/>
    <w:rsid w:val="7DFE4841"/>
    <w:rsid w:val="7DFE4886"/>
    <w:rsid w:val="7E122DE0"/>
    <w:rsid w:val="7E560B83"/>
    <w:rsid w:val="7EFB7450"/>
    <w:rsid w:val="7F4204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仿宋_GB2312"/>
      <w:b/>
      <w:sz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toc 7"/>
    <w:basedOn w:val="1"/>
    <w:next w:val="1"/>
    <w:qFormat/>
    <w:uiPriority w:val="0"/>
    <w:pPr>
      <w:ind w:left="2520" w:leftChars="1200"/>
    </w:pPr>
  </w:style>
  <w:style w:type="paragraph" w:styleId="5">
    <w:name w:val="Body Text"/>
    <w:basedOn w:val="1"/>
    <w:qFormat/>
    <w:uiPriority w:val="0"/>
    <w:rPr>
      <w:rFonts w:ascii="宋体" w:hAnsi="宋体" w:eastAsia="宋体" w:cs="宋体"/>
      <w:sz w:val="24"/>
      <w:szCs w:val="24"/>
      <w:lang w:val="zh-CN" w:eastAsia="zh-CN" w:bidi="zh-CN"/>
    </w:rPr>
  </w:style>
  <w:style w:type="paragraph" w:styleId="6">
    <w:name w:val="toc 5"/>
    <w:basedOn w:val="1"/>
    <w:next w:val="1"/>
    <w:qFormat/>
    <w:uiPriority w:val="0"/>
    <w:pPr>
      <w:ind w:left="1680" w:leftChars="800"/>
    </w:pPr>
  </w:style>
  <w:style w:type="paragraph" w:styleId="7">
    <w:name w:val="toc 3"/>
    <w:basedOn w:val="1"/>
    <w:next w:val="1"/>
    <w:qFormat/>
    <w:uiPriority w:val="0"/>
    <w:pPr>
      <w:ind w:left="840" w:leftChars="400"/>
    </w:pPr>
  </w:style>
  <w:style w:type="paragraph" w:styleId="8">
    <w:name w:val="toc 8"/>
    <w:basedOn w:val="1"/>
    <w:next w:val="1"/>
    <w:qFormat/>
    <w:uiPriority w:val="0"/>
    <w:pPr>
      <w:ind w:left="2940" w:leftChars="1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4"/>
    <w:basedOn w:val="1"/>
    <w:next w:val="1"/>
    <w:qFormat/>
    <w:uiPriority w:val="0"/>
    <w:pPr>
      <w:ind w:left="1260" w:leftChars="600"/>
    </w:pPr>
  </w:style>
  <w:style w:type="paragraph" w:styleId="13">
    <w:name w:val="toc 6"/>
    <w:basedOn w:val="1"/>
    <w:next w:val="1"/>
    <w:qFormat/>
    <w:uiPriority w:val="0"/>
    <w:pPr>
      <w:ind w:left="2100" w:leftChars="1000"/>
    </w:pPr>
  </w:style>
  <w:style w:type="paragraph" w:styleId="14">
    <w:name w:val="toc 2"/>
    <w:basedOn w:val="1"/>
    <w:next w:val="1"/>
    <w:qFormat/>
    <w:uiPriority w:val="0"/>
    <w:pPr>
      <w:ind w:left="420" w:leftChars="200"/>
    </w:pPr>
  </w:style>
  <w:style w:type="paragraph" w:styleId="15">
    <w:name w:val="toc 9"/>
    <w:basedOn w:val="1"/>
    <w:next w:val="1"/>
    <w:qFormat/>
    <w:uiPriority w:val="0"/>
    <w:pPr>
      <w:ind w:left="3360" w:leftChars="1600"/>
    </w:p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table" w:styleId="18">
    <w:name w:val="Table Grid"/>
    <w:basedOn w:val="17"/>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2021-01-31T01:57:00Z</dcterms:created>
  <dc:creator>admin</dc:creator>
  <cp:lastModifiedBy>皆有可能</cp:lastModifiedBy>
  <cp:lastPrinted>2021-02-01T09:04:00Z</cp:lastPrinted>
  <dcterms:modified xsi:type="dcterms:W3CDTF">2024-04-22T09:45:02Z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87F2EC8D4B7F45E5ABA682E1947AF56D</vt:lpwstr>
  </property>
</Properties>
</file>